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3C2" w:rsidRPr="001862E0" w:rsidRDefault="00D30762" w:rsidP="001862E0">
      <w:pPr>
        <w:tabs>
          <w:tab w:val="center" w:pos="4535"/>
          <w:tab w:val="right" w:pos="9071"/>
        </w:tabs>
        <w:spacing w:after="0"/>
        <w:jc w:val="center"/>
        <w:rPr>
          <w:rFonts w:ascii="Simplified Arabic" w:eastAsia="Times New Roman" w:hAnsi="Simplified Arabic" w:cs="PT Bold Heading"/>
          <w:b/>
          <w:bCs/>
          <w:sz w:val="32"/>
          <w:szCs w:val="32"/>
          <w:rtl/>
        </w:rPr>
      </w:pPr>
      <w:r w:rsidRPr="001862E0">
        <w:rPr>
          <w:rFonts w:ascii="Simplified Arabic" w:eastAsia="Times New Roman" w:hAnsi="Simplified Arabic" w:cs="PT Bold Heading"/>
          <w:b/>
          <w:bCs/>
          <w:sz w:val="32"/>
          <w:szCs w:val="32"/>
          <w:rtl/>
        </w:rPr>
        <w:t>الفصل الرابع</w:t>
      </w:r>
    </w:p>
    <w:p w:rsidR="00883251" w:rsidRPr="00C0426E" w:rsidRDefault="00AC73C2" w:rsidP="00C0426E">
      <w:pPr>
        <w:spacing w:after="0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C0426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="003A097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 </w:t>
      </w:r>
      <w:r w:rsidRPr="00C0426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="00D52FE1" w:rsidRPr="00C0426E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يتضمن هذا الفصل عرضاً </w:t>
      </w:r>
      <w:r w:rsidR="008A2401" w:rsidRPr="00C0426E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لنتائج </w:t>
      </w:r>
      <w:r w:rsidR="00883251" w:rsidRPr="00C0426E">
        <w:rPr>
          <w:rFonts w:ascii="Simplified Arabic" w:eastAsia="Times New Roman" w:hAnsi="Simplified Arabic" w:cs="Simplified Arabic"/>
          <w:sz w:val="28"/>
          <w:szCs w:val="28"/>
          <w:rtl/>
        </w:rPr>
        <w:t>البحث بالموازنة بين متوسط درجات تلاميذ المجموعة التجريبيّة، ومتوسط درجا</w:t>
      </w:r>
      <w:r w:rsidR="00660A44" w:rsidRPr="00C0426E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ت تلاميذ المجموعة الضابطة في </w:t>
      </w:r>
      <w:proofErr w:type="spellStart"/>
      <w:r w:rsidR="00660A44" w:rsidRPr="00C0426E">
        <w:rPr>
          <w:rFonts w:ascii="Simplified Arabic" w:eastAsia="Times New Roman" w:hAnsi="Simplified Arabic" w:cs="Simplified Arabic"/>
          <w:sz w:val="28"/>
          <w:szCs w:val="28"/>
          <w:rtl/>
        </w:rPr>
        <w:t>الإ</w:t>
      </w:r>
      <w:r w:rsidR="00883251" w:rsidRPr="00C0426E">
        <w:rPr>
          <w:rFonts w:ascii="Simplified Arabic" w:eastAsia="Times New Roman" w:hAnsi="Simplified Arabic" w:cs="Simplified Arabic"/>
          <w:sz w:val="28"/>
          <w:szCs w:val="28"/>
          <w:rtl/>
        </w:rPr>
        <w:t>ختبار</w:t>
      </w:r>
      <w:proofErr w:type="spellEnd"/>
      <w:r w:rsidR="00883251" w:rsidRPr="00C0426E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التحصيلي</w:t>
      </w:r>
      <w:r w:rsidR="008A2401" w:rsidRPr="00C0426E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وعمليات العلم</w:t>
      </w:r>
      <w:bookmarkStart w:id="0" w:name="_GoBack"/>
      <w:bookmarkEnd w:id="0"/>
      <w:r w:rsidR="00883251" w:rsidRPr="00C0426E">
        <w:rPr>
          <w:rFonts w:ascii="Simplified Arabic" w:eastAsia="Times New Roman" w:hAnsi="Simplified Arabic" w:cs="Simplified Arabic"/>
          <w:sz w:val="28"/>
          <w:szCs w:val="28"/>
          <w:rtl/>
        </w:rPr>
        <w:t>، ومعرفة الد</w:t>
      </w:r>
      <w:r w:rsidR="00660A44" w:rsidRPr="00C0426E">
        <w:rPr>
          <w:rFonts w:ascii="Simplified Arabic" w:eastAsia="Times New Roman" w:hAnsi="Simplified Arabic" w:cs="Simplified Arabic"/>
          <w:sz w:val="28"/>
          <w:szCs w:val="28"/>
          <w:rtl/>
        </w:rPr>
        <w:t>ِ</w:t>
      </w:r>
      <w:r w:rsidR="00883251" w:rsidRPr="00C0426E">
        <w:rPr>
          <w:rFonts w:ascii="Simplified Arabic" w:eastAsia="Times New Roman" w:hAnsi="Simplified Arabic" w:cs="Simplified Arabic"/>
          <w:sz w:val="28"/>
          <w:szCs w:val="28"/>
          <w:rtl/>
        </w:rPr>
        <w:t>لالة الإحصائيّة للفرق بين متوسطي درجات المجموعتين ف</w:t>
      </w:r>
      <w:r w:rsidRPr="00C0426E">
        <w:rPr>
          <w:rFonts w:ascii="Simplified Arabic" w:eastAsia="Times New Roman" w:hAnsi="Simplified Arabic" w:cs="Simplified Arabic"/>
          <w:sz w:val="28"/>
          <w:szCs w:val="28"/>
          <w:rtl/>
        </w:rPr>
        <w:t>ي كلٍّ من المتغيّر</w:t>
      </w:r>
      <w:r w:rsidR="008A2401" w:rsidRPr="00C0426E">
        <w:rPr>
          <w:rFonts w:ascii="Simplified Arabic" w:eastAsia="Times New Roman" w:hAnsi="Simplified Arabic" w:cs="Simplified Arabic"/>
          <w:sz w:val="28"/>
          <w:szCs w:val="28"/>
          <w:rtl/>
        </w:rPr>
        <w:t>ين</w:t>
      </w:r>
      <w:r w:rsidRPr="00C0426E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المذكو</w:t>
      </w:r>
      <w:r w:rsidR="00027C42" w:rsidRPr="00C0426E">
        <w:rPr>
          <w:rFonts w:ascii="Simplified Arabic" w:eastAsia="Times New Roman" w:hAnsi="Simplified Arabic" w:cs="Simplified Arabic"/>
          <w:sz w:val="28"/>
          <w:szCs w:val="28"/>
          <w:rtl/>
        </w:rPr>
        <w:t>رين</w:t>
      </w:r>
      <w:r w:rsidRPr="00C0426E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، ثم </w:t>
      </w:r>
      <w:r w:rsidR="00660A44" w:rsidRPr="00C0426E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تفسير </w:t>
      </w:r>
      <w:r w:rsidR="00027C42" w:rsidRPr="00C0426E">
        <w:rPr>
          <w:rFonts w:ascii="Simplified Arabic" w:eastAsia="Times New Roman" w:hAnsi="Simplified Arabic" w:cs="Simplified Arabic"/>
          <w:sz w:val="28"/>
          <w:szCs w:val="28"/>
          <w:rtl/>
        </w:rPr>
        <w:t>النتائج</w:t>
      </w:r>
      <w:r w:rsidR="00660A44" w:rsidRPr="00C0426E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، </w:t>
      </w:r>
      <w:r w:rsidR="00837373" w:rsidRPr="00C0426E">
        <w:rPr>
          <w:rFonts w:ascii="Simplified Arabic" w:eastAsia="Times New Roman" w:hAnsi="Simplified Arabic" w:cs="Simplified Arabic"/>
          <w:sz w:val="28"/>
          <w:szCs w:val="28"/>
          <w:rtl/>
        </w:rPr>
        <w:t>و</w:t>
      </w:r>
      <w:r w:rsidR="005B2015">
        <w:rPr>
          <w:rFonts w:ascii="Simplified Arabic" w:eastAsia="Times New Roman" w:hAnsi="Simplified Arabic" w:cs="Simplified Arabic"/>
          <w:sz w:val="28"/>
          <w:szCs w:val="28"/>
          <w:rtl/>
        </w:rPr>
        <w:t>من ثّمَ الاستنتاجات والتوصيات و</w:t>
      </w:r>
      <w:r w:rsidR="00837373" w:rsidRPr="00C0426E">
        <w:rPr>
          <w:rFonts w:ascii="Simplified Arabic" w:eastAsia="Times New Roman" w:hAnsi="Simplified Arabic" w:cs="Simplified Arabic"/>
          <w:sz w:val="28"/>
          <w:szCs w:val="28"/>
          <w:rtl/>
        </w:rPr>
        <w:t>المقترحات و</w:t>
      </w:r>
      <w:r w:rsidR="00660A44" w:rsidRPr="00C0426E">
        <w:rPr>
          <w:rFonts w:ascii="Simplified Arabic" w:eastAsia="Times New Roman" w:hAnsi="Simplified Arabic" w:cs="Simplified Arabic"/>
          <w:sz w:val="28"/>
          <w:szCs w:val="28"/>
          <w:rtl/>
        </w:rPr>
        <w:t>على النحو الآ</w:t>
      </w:r>
      <w:r w:rsidR="00883251" w:rsidRPr="00C0426E">
        <w:rPr>
          <w:rFonts w:ascii="Simplified Arabic" w:eastAsia="Times New Roman" w:hAnsi="Simplified Arabic" w:cs="Simplified Arabic"/>
          <w:sz w:val="28"/>
          <w:szCs w:val="28"/>
          <w:rtl/>
        </w:rPr>
        <w:t>تي :</w:t>
      </w:r>
      <w:r w:rsidR="003528AD" w:rsidRPr="00C0426E">
        <w:rPr>
          <w:rFonts w:ascii="Simplified Arabic" w:eastAsia="Times New Roman" w:hAnsi="Simplified Arabic" w:cs="Simplified Arabic"/>
          <w:sz w:val="28"/>
          <w:szCs w:val="28"/>
          <w:rtl/>
        </w:rPr>
        <w:t>-</w:t>
      </w:r>
    </w:p>
    <w:p w:rsidR="001F036D" w:rsidRPr="00C0426E" w:rsidRDefault="00883251" w:rsidP="00C0426E">
      <w:pPr>
        <w:spacing w:after="0"/>
        <w:jc w:val="lowKashida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C0426E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="00A93821" w:rsidRPr="00C0426E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أولاً: عرض </w:t>
      </w:r>
      <w:r w:rsidR="00837373" w:rsidRPr="00C0426E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</w:t>
      </w:r>
      <w:r w:rsidR="00AA7352" w:rsidRPr="00C0426E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نتيجة</w:t>
      </w:r>
      <w:r w:rsidR="00A93821" w:rsidRPr="00C0426E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:- </w:t>
      </w:r>
    </w:p>
    <w:p w:rsidR="008A2401" w:rsidRPr="00C0426E" w:rsidRDefault="00DA2483" w:rsidP="00DA2483">
      <w:pPr>
        <w:jc w:val="lowKashida"/>
        <w:rPr>
          <w:rFonts w:ascii="Simplified Arabic" w:eastAsia="Times New Roman" w:hAnsi="Simplified Arabic" w:cs="Simplified Arabic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     </w:t>
      </w:r>
      <w:r w:rsidR="008A2401" w:rsidRPr="00C0426E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بعد </w:t>
      </w:r>
      <w:proofErr w:type="spellStart"/>
      <w:r w:rsidR="008A2401" w:rsidRPr="00C0426E">
        <w:rPr>
          <w:rFonts w:ascii="Simplified Arabic" w:eastAsia="Times New Roman" w:hAnsi="Simplified Arabic" w:cs="Simplified Arabic"/>
          <w:sz w:val="28"/>
          <w:szCs w:val="28"/>
          <w:rtl/>
        </w:rPr>
        <w:t>ال</w:t>
      </w:r>
      <w:r w:rsidR="007A7F54" w:rsidRPr="00C0426E">
        <w:rPr>
          <w:rFonts w:ascii="Simplified Arabic" w:eastAsia="Times New Roman" w:hAnsi="Simplified Arabic" w:cs="Simplified Arabic"/>
          <w:sz w:val="28"/>
          <w:szCs w:val="28"/>
          <w:rtl/>
        </w:rPr>
        <w:t>إ</w:t>
      </w:r>
      <w:r w:rsidR="008A2401" w:rsidRPr="00C0426E">
        <w:rPr>
          <w:rFonts w:ascii="Simplified Arabic" w:eastAsia="Times New Roman" w:hAnsi="Simplified Arabic" w:cs="Simplified Arabic"/>
          <w:sz w:val="28"/>
          <w:szCs w:val="28"/>
          <w:rtl/>
        </w:rPr>
        <w:t>نتهاء</w:t>
      </w:r>
      <w:proofErr w:type="spellEnd"/>
      <w:r w:rsidR="008A2401" w:rsidRPr="00C0426E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من تجربة البحث على وفق الخطوات وال</w:t>
      </w:r>
      <w:r w:rsidR="007A7F54" w:rsidRPr="00C0426E">
        <w:rPr>
          <w:rFonts w:ascii="Simplified Arabic" w:eastAsia="Times New Roman" w:hAnsi="Simplified Arabic" w:cs="Simplified Arabic"/>
          <w:sz w:val="28"/>
          <w:szCs w:val="28"/>
          <w:rtl/>
        </w:rPr>
        <w:t>إ</w:t>
      </w:r>
      <w:r w:rsidR="008A2401" w:rsidRPr="00C0426E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جراءات التي عرضت في الفصل السابق يعرض الباحث النتائج التي توصل </w:t>
      </w:r>
      <w:r w:rsidR="007A7F54" w:rsidRPr="00C0426E">
        <w:rPr>
          <w:rFonts w:ascii="Simplified Arabic" w:eastAsia="Times New Roman" w:hAnsi="Simplified Arabic" w:cs="Simplified Arabic"/>
          <w:sz w:val="28"/>
          <w:szCs w:val="28"/>
          <w:rtl/>
        </w:rPr>
        <w:t>إ</w:t>
      </w:r>
      <w:r w:rsidR="008A2401" w:rsidRPr="00C0426E">
        <w:rPr>
          <w:rFonts w:ascii="Simplified Arabic" w:eastAsia="Times New Roman" w:hAnsi="Simplified Arabic" w:cs="Simplified Arabic"/>
          <w:sz w:val="28"/>
          <w:szCs w:val="28"/>
          <w:rtl/>
        </w:rPr>
        <w:t>ليها البحث الحالي في ضوء أهداف وفرضيات بعد المقارنة بين متوسطات درجات</w:t>
      </w:r>
      <w:r w:rsidR="00F50B28" w:rsidRPr="00C0426E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تلاميذ مجموعتي البحث </w:t>
      </w:r>
      <w:proofErr w:type="spellStart"/>
      <w:r w:rsidR="00F50B28" w:rsidRPr="00C0426E">
        <w:rPr>
          <w:rFonts w:ascii="Simplified Arabic" w:eastAsia="Times New Roman" w:hAnsi="Simplified Arabic" w:cs="Simplified Arabic"/>
          <w:sz w:val="28"/>
          <w:szCs w:val="28"/>
          <w:rtl/>
        </w:rPr>
        <w:t>بال</w:t>
      </w:r>
      <w:r w:rsidR="007A7F54" w:rsidRPr="00C0426E">
        <w:rPr>
          <w:rFonts w:ascii="Simplified Arabic" w:eastAsia="Times New Roman" w:hAnsi="Simplified Arabic" w:cs="Simplified Arabic"/>
          <w:sz w:val="28"/>
          <w:szCs w:val="28"/>
          <w:rtl/>
        </w:rPr>
        <w:t>أ</w:t>
      </w:r>
      <w:r w:rsidR="00F50B28" w:rsidRPr="00C0426E">
        <w:rPr>
          <w:rFonts w:ascii="Simplified Arabic" w:eastAsia="Times New Roman" w:hAnsi="Simplified Arabic" w:cs="Simplified Arabic"/>
          <w:sz w:val="28"/>
          <w:szCs w:val="28"/>
          <w:rtl/>
        </w:rPr>
        <w:t>ختبار</w:t>
      </w:r>
      <w:proofErr w:type="spellEnd"/>
      <w:r w:rsidR="00F50B28" w:rsidRPr="00C0426E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التحصيلي </w:t>
      </w:r>
      <w:proofErr w:type="spellStart"/>
      <w:r w:rsidR="00F50B28" w:rsidRPr="00C0426E">
        <w:rPr>
          <w:rFonts w:ascii="Simplified Arabic" w:eastAsia="Times New Roman" w:hAnsi="Simplified Arabic" w:cs="Simplified Arabic"/>
          <w:sz w:val="28"/>
          <w:szCs w:val="28"/>
          <w:rtl/>
        </w:rPr>
        <w:t>و</w:t>
      </w:r>
      <w:r w:rsidR="007A7F54" w:rsidRPr="00C0426E">
        <w:rPr>
          <w:rFonts w:ascii="Simplified Arabic" w:eastAsia="Times New Roman" w:hAnsi="Simplified Arabic" w:cs="Simplified Arabic"/>
          <w:sz w:val="28"/>
          <w:szCs w:val="28"/>
          <w:rtl/>
        </w:rPr>
        <w:t>أ</w:t>
      </w:r>
      <w:r w:rsidR="00F50B28" w:rsidRPr="00C0426E">
        <w:rPr>
          <w:rFonts w:ascii="Simplified Arabic" w:eastAsia="Times New Roman" w:hAnsi="Simplified Arabic" w:cs="Simplified Arabic"/>
          <w:sz w:val="28"/>
          <w:szCs w:val="28"/>
          <w:rtl/>
        </w:rPr>
        <w:t>ختبار</w:t>
      </w:r>
      <w:proofErr w:type="spellEnd"/>
      <w:r w:rsidR="00F50B28" w:rsidRPr="00C0426E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عمليات العلم وعلى النحو الآتي:</w:t>
      </w:r>
    </w:p>
    <w:p w:rsidR="00F50B28" w:rsidRPr="00C0426E" w:rsidRDefault="00F50B28" w:rsidP="00C0426E">
      <w:pPr>
        <w:pStyle w:val="a3"/>
        <w:numPr>
          <w:ilvl w:val="0"/>
          <w:numId w:val="13"/>
        </w:numPr>
        <w:spacing w:after="0"/>
        <w:ind w:left="282" w:hanging="283"/>
        <w:jc w:val="lowKashida"/>
        <w:rPr>
          <w:rFonts w:ascii="Simplified Arabic" w:eastAsia="Times New Roman" w:hAnsi="Simplified Arabic" w:cs="Simplified Arabic"/>
          <w:sz w:val="28"/>
          <w:szCs w:val="28"/>
        </w:rPr>
      </w:pPr>
      <w:r w:rsidRPr="00C0426E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عرض النتائج الخاصة بأداء تلاميذ مجموعتي البحث في </w:t>
      </w:r>
      <w:proofErr w:type="spellStart"/>
      <w:r w:rsidRPr="00C0426E">
        <w:rPr>
          <w:rFonts w:ascii="Simplified Arabic" w:eastAsia="Times New Roman" w:hAnsi="Simplified Arabic" w:cs="Simplified Arabic"/>
          <w:sz w:val="28"/>
          <w:szCs w:val="28"/>
          <w:rtl/>
        </w:rPr>
        <w:t>ال</w:t>
      </w:r>
      <w:r w:rsidR="007A7F54" w:rsidRPr="00C0426E">
        <w:rPr>
          <w:rFonts w:ascii="Simplified Arabic" w:eastAsia="Times New Roman" w:hAnsi="Simplified Arabic" w:cs="Simplified Arabic"/>
          <w:sz w:val="28"/>
          <w:szCs w:val="28"/>
          <w:rtl/>
        </w:rPr>
        <w:t>أ</w:t>
      </w:r>
      <w:r w:rsidRPr="00C0426E">
        <w:rPr>
          <w:rFonts w:ascii="Simplified Arabic" w:eastAsia="Times New Roman" w:hAnsi="Simplified Arabic" w:cs="Simplified Arabic"/>
          <w:sz w:val="28"/>
          <w:szCs w:val="28"/>
          <w:rtl/>
        </w:rPr>
        <w:t>ختبار</w:t>
      </w:r>
      <w:proofErr w:type="spellEnd"/>
      <w:r w:rsidRPr="00C0426E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التحصيلي.</w:t>
      </w:r>
    </w:p>
    <w:p w:rsidR="00F50B28" w:rsidRPr="00C0426E" w:rsidRDefault="00F50B28" w:rsidP="007A7D9E">
      <w:pPr>
        <w:pStyle w:val="a3"/>
        <w:numPr>
          <w:ilvl w:val="0"/>
          <w:numId w:val="13"/>
        </w:numPr>
        <w:spacing w:after="0"/>
        <w:ind w:left="282" w:hanging="283"/>
        <w:jc w:val="lowKashida"/>
        <w:rPr>
          <w:rFonts w:ascii="Simplified Arabic" w:eastAsia="Times New Roman" w:hAnsi="Simplified Arabic" w:cs="Simplified Arabic"/>
          <w:sz w:val="28"/>
          <w:szCs w:val="28"/>
        </w:rPr>
      </w:pPr>
      <w:r w:rsidRPr="00C0426E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عرض النتائج الخاصة بأداء تلاميذ مجموعتي البحث في </w:t>
      </w:r>
      <w:r w:rsidR="007A7D9E">
        <w:rPr>
          <w:rFonts w:ascii="Simplified Arabic" w:eastAsia="Times New Roman" w:hAnsi="Simplified Arabic" w:cs="Simplified Arabic" w:hint="cs"/>
          <w:sz w:val="28"/>
          <w:szCs w:val="28"/>
          <w:rtl/>
        </w:rPr>
        <w:t>ا</w:t>
      </w:r>
      <w:r w:rsidRPr="00C0426E">
        <w:rPr>
          <w:rFonts w:ascii="Simplified Arabic" w:eastAsia="Times New Roman" w:hAnsi="Simplified Arabic" w:cs="Simplified Arabic"/>
          <w:sz w:val="28"/>
          <w:szCs w:val="28"/>
          <w:rtl/>
        </w:rPr>
        <w:t>ختبار عمليات العلم.</w:t>
      </w:r>
    </w:p>
    <w:p w:rsidR="00F50B28" w:rsidRPr="00C0426E" w:rsidRDefault="00F50B28" w:rsidP="00C0426E">
      <w:pPr>
        <w:pStyle w:val="a3"/>
        <w:numPr>
          <w:ilvl w:val="0"/>
          <w:numId w:val="14"/>
        </w:numPr>
        <w:spacing w:after="0"/>
        <w:ind w:left="282" w:hanging="283"/>
        <w:jc w:val="lowKashida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C0426E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نتائج الفرضية الأولى</w:t>
      </w:r>
      <w:r w:rsidRPr="00C0426E">
        <w:rPr>
          <w:rFonts w:ascii="Simplified Arabic" w:eastAsia="Times New Roman" w:hAnsi="Simplified Arabic" w:cs="Simplified Arabic"/>
          <w:sz w:val="28"/>
          <w:szCs w:val="28"/>
          <w:rtl/>
        </w:rPr>
        <w:t>:</w:t>
      </w:r>
    </w:p>
    <w:p w:rsidR="001F036D" w:rsidRPr="00C0426E" w:rsidRDefault="00F50B28" w:rsidP="00C0426E">
      <w:pPr>
        <w:spacing w:after="160"/>
        <w:jc w:val="lowKashida"/>
        <w:rPr>
          <w:rFonts w:ascii="Simplified Arabic" w:eastAsiaTheme="minorEastAsia" w:hAnsi="Simplified Arabic" w:cs="Simplified Arabic"/>
          <w:sz w:val="28"/>
          <w:szCs w:val="28"/>
          <w:rtl/>
        </w:rPr>
      </w:pPr>
      <w:r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 </w:t>
      </w:r>
      <w:r w:rsidR="00027C42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نصت الفرضية الأولى على أنه</w:t>
      </w:r>
      <w:r w:rsidR="001F036D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:</w:t>
      </w:r>
    </w:p>
    <w:p w:rsidR="00F50B28" w:rsidRPr="00C0426E" w:rsidRDefault="001F036D" w:rsidP="003A0974">
      <w:pPr>
        <w:spacing w:after="160"/>
        <w:ind w:firstLine="424"/>
        <w:jc w:val="lowKashida"/>
        <w:rPr>
          <w:rFonts w:ascii="Simplified Arabic" w:eastAsiaTheme="minorEastAsia" w:hAnsi="Simplified Arabic" w:cs="Simplified Arabic"/>
          <w:sz w:val="28"/>
          <w:szCs w:val="28"/>
          <w:highlight w:val="yellow"/>
          <w:rtl/>
        </w:rPr>
      </w:pPr>
      <w:r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لا توجد ف</w:t>
      </w:r>
      <w:r w:rsidR="00432891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روق ذات دلالة إحصائية عند مستوى</w:t>
      </w:r>
      <w:r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(0,05) بين متوسط درجات تلاميذ المجموعة التجريبية الذين </w:t>
      </w:r>
      <w:r w:rsidR="009E379A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يدرسون</w:t>
      </w:r>
      <w:r w:rsidR="00F82AE0">
        <w:rPr>
          <w:rFonts w:ascii="Simplified Arabic" w:eastAsiaTheme="minorEastAsia" w:hAnsi="Simplified Arabic" w:cs="Simplified Arabic" w:hint="cs"/>
          <w:sz w:val="28"/>
          <w:szCs w:val="28"/>
          <w:rtl/>
        </w:rPr>
        <w:t xml:space="preserve"> قواعد اللغة العربية</w:t>
      </w:r>
      <w:r w:rsidR="009E379A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 </w:t>
      </w:r>
      <w:r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على وفق </w:t>
      </w:r>
      <w:proofErr w:type="spellStart"/>
      <w:r w:rsidR="007D426F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إ</w:t>
      </w:r>
      <w:r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ستراتيجية</w:t>
      </w:r>
      <w:proofErr w:type="spellEnd"/>
      <w:r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 دورة التعلم السباعية</w:t>
      </w:r>
      <w:r w:rsidR="00F82AE0">
        <w:rPr>
          <w:rFonts w:ascii="Simplified Arabic" w:eastAsiaTheme="minorEastAsia" w:hAnsi="Simplified Arabic" w:cs="Simplified Arabic" w:hint="cs"/>
          <w:sz w:val="28"/>
          <w:szCs w:val="28"/>
          <w:rtl/>
        </w:rPr>
        <w:t>-</w:t>
      </w:r>
      <w:r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 و</w:t>
      </w:r>
      <w:r w:rsidR="00F82AE0">
        <w:rPr>
          <w:rFonts w:ascii="Simplified Arabic" w:eastAsiaTheme="minorEastAsia" w:hAnsi="Simplified Arabic" w:cs="Simplified Arabic" w:hint="cs"/>
          <w:sz w:val="28"/>
          <w:szCs w:val="28"/>
          <w:rtl/>
        </w:rPr>
        <w:t xml:space="preserve">بين </w:t>
      </w:r>
      <w:r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متوسط درجات تلاميذ المجموعة الضابطة الذين </w:t>
      </w:r>
      <w:r w:rsidR="009E379A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يدرسون</w:t>
      </w:r>
      <w:r w:rsidR="00F82AE0">
        <w:rPr>
          <w:rFonts w:ascii="Simplified Arabic" w:eastAsiaTheme="minorEastAsia" w:hAnsi="Simplified Arabic" w:cs="Simplified Arabic" w:hint="cs"/>
          <w:sz w:val="28"/>
          <w:szCs w:val="28"/>
          <w:rtl/>
        </w:rPr>
        <w:t xml:space="preserve"> قواعد اللغة العربية</w:t>
      </w:r>
      <w:r w:rsidR="009E379A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 </w:t>
      </w:r>
      <w:r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على وفق الطريقة </w:t>
      </w:r>
      <w:r w:rsidR="007D426F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الاستقرائية</w:t>
      </w:r>
      <w:r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 </w:t>
      </w:r>
      <w:r w:rsidR="00F82AE0">
        <w:rPr>
          <w:rFonts w:ascii="Simplified Arabic" w:eastAsiaTheme="minorEastAsia" w:hAnsi="Simplified Arabic" w:cs="Simplified Arabic" w:hint="cs"/>
          <w:sz w:val="28"/>
          <w:szCs w:val="28"/>
          <w:rtl/>
        </w:rPr>
        <w:t xml:space="preserve"> </w:t>
      </w:r>
      <w:proofErr w:type="spellStart"/>
      <w:r w:rsidR="00F82AE0">
        <w:rPr>
          <w:rFonts w:ascii="Simplified Arabic" w:eastAsiaTheme="minorEastAsia" w:hAnsi="Simplified Arabic" w:cs="Simplified Arabic" w:hint="cs"/>
          <w:sz w:val="28"/>
          <w:szCs w:val="28"/>
          <w:rtl/>
        </w:rPr>
        <w:t>بالإختبار</w:t>
      </w:r>
      <w:proofErr w:type="spellEnd"/>
      <w:r w:rsidR="00F82AE0">
        <w:rPr>
          <w:rFonts w:ascii="Simplified Arabic" w:eastAsiaTheme="minorEastAsia" w:hAnsi="Simplified Arabic" w:cs="Simplified Arabic" w:hint="cs"/>
          <w:sz w:val="28"/>
          <w:szCs w:val="28"/>
          <w:rtl/>
        </w:rPr>
        <w:t xml:space="preserve"> ال</w:t>
      </w:r>
      <w:r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تحصيل, ولأجل التحقق من صحة الفرضية </w:t>
      </w:r>
      <w:r w:rsidR="001D2B93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أ</w:t>
      </w:r>
      <w:r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ستخرج الباحث المتوسط الحسابي </w:t>
      </w:r>
      <w:proofErr w:type="spellStart"/>
      <w:r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وال</w:t>
      </w:r>
      <w:r w:rsidR="001D2B93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أ</w:t>
      </w:r>
      <w:r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نحراف</w:t>
      </w:r>
      <w:proofErr w:type="spellEnd"/>
      <w:r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 المعي</w:t>
      </w:r>
      <w:r w:rsidR="00027C42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اري لدرجات </w:t>
      </w:r>
      <w:r w:rsidR="007A7D9E">
        <w:rPr>
          <w:rFonts w:ascii="Simplified Arabic" w:eastAsiaTheme="minorEastAsia" w:hAnsi="Simplified Arabic" w:cs="Simplified Arabic" w:hint="cs"/>
          <w:sz w:val="28"/>
          <w:szCs w:val="28"/>
          <w:rtl/>
        </w:rPr>
        <w:t>ال</w:t>
      </w:r>
      <w:r w:rsidR="00027C42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تلاميذ في المجموعتين</w:t>
      </w:r>
      <w:r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(التجريبية</w:t>
      </w:r>
      <w:r w:rsidR="003E6621">
        <w:rPr>
          <w:rFonts w:ascii="Simplified Arabic" w:eastAsiaTheme="minorEastAsia" w:hAnsi="Simplified Arabic" w:cs="Simplified Arabic" w:hint="cs"/>
          <w:sz w:val="28"/>
          <w:szCs w:val="28"/>
          <w:rtl/>
        </w:rPr>
        <w:t xml:space="preserve"> والضابطة</w:t>
      </w:r>
      <w:r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) في </w:t>
      </w:r>
      <w:proofErr w:type="spellStart"/>
      <w:r w:rsidR="007A7D9E">
        <w:rPr>
          <w:rFonts w:ascii="Simplified Arabic" w:eastAsiaTheme="minorEastAsia" w:hAnsi="Simplified Arabic" w:cs="Simplified Arabic" w:hint="cs"/>
          <w:sz w:val="28"/>
          <w:szCs w:val="28"/>
          <w:rtl/>
        </w:rPr>
        <w:t>ال</w:t>
      </w:r>
      <w:r w:rsidR="007D426F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أ</w:t>
      </w:r>
      <w:r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ختبار</w:t>
      </w:r>
      <w:proofErr w:type="spellEnd"/>
      <w:r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 تحصيل</w:t>
      </w:r>
      <w:r w:rsidR="00B238CD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ي</w:t>
      </w:r>
      <w:r w:rsidR="00027C42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 كما يتبين في الجدول</w:t>
      </w:r>
      <w:r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(</w:t>
      </w:r>
      <w:r w:rsidR="003E622A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1</w:t>
      </w:r>
      <w:r w:rsidR="003A0974">
        <w:rPr>
          <w:rFonts w:ascii="Simplified Arabic" w:eastAsiaTheme="minorEastAsia" w:hAnsi="Simplified Arabic" w:cs="Simplified Arabic" w:hint="cs"/>
          <w:sz w:val="28"/>
          <w:szCs w:val="28"/>
          <w:rtl/>
        </w:rPr>
        <w:t>0</w:t>
      </w:r>
      <w:r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)</w:t>
      </w:r>
      <w:r w:rsidR="00027C42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.</w:t>
      </w:r>
      <w:r w:rsidR="00C0426E">
        <w:rPr>
          <w:rFonts w:ascii="Simplified Arabic" w:eastAsiaTheme="minorEastAsia" w:hAnsi="Simplified Arabic" w:cs="Simplified Arabic" w:hint="cs"/>
          <w:sz w:val="28"/>
          <w:szCs w:val="28"/>
          <w:highlight w:val="yellow"/>
          <w:rtl/>
        </w:rPr>
        <w:t xml:space="preserve"> </w:t>
      </w:r>
    </w:p>
    <w:p w:rsidR="00277F95" w:rsidRDefault="00432891" w:rsidP="00DA2483">
      <w:pPr>
        <w:spacing w:after="160"/>
        <w:jc w:val="lowKashida"/>
        <w:rPr>
          <w:rFonts w:ascii="Simplified Arabic" w:eastAsiaTheme="minorEastAsia" w:hAnsi="Simplified Arabic" w:cs="Simplified Arabic"/>
          <w:sz w:val="28"/>
          <w:szCs w:val="28"/>
          <w:rtl/>
        </w:rPr>
      </w:pPr>
      <w:r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                                  </w:t>
      </w:r>
    </w:p>
    <w:p w:rsidR="00DA2483" w:rsidRDefault="00DA2483" w:rsidP="00DA2483">
      <w:pPr>
        <w:spacing w:after="160"/>
        <w:jc w:val="lowKashida"/>
        <w:rPr>
          <w:rFonts w:ascii="Simplified Arabic" w:eastAsiaTheme="minorEastAsia" w:hAnsi="Simplified Arabic" w:cs="Simplified Arabic"/>
          <w:sz w:val="28"/>
          <w:szCs w:val="28"/>
          <w:rtl/>
        </w:rPr>
      </w:pPr>
    </w:p>
    <w:p w:rsidR="001F036D" w:rsidRPr="00C0426E" w:rsidRDefault="00432891" w:rsidP="00140E17">
      <w:pPr>
        <w:spacing w:after="160"/>
        <w:jc w:val="center"/>
        <w:rPr>
          <w:rFonts w:ascii="Simplified Arabic" w:eastAsiaTheme="minorEastAsia" w:hAnsi="Simplified Arabic" w:cs="Simplified Arabic"/>
          <w:b/>
          <w:bCs/>
          <w:sz w:val="28"/>
          <w:szCs w:val="28"/>
          <w:rtl/>
        </w:rPr>
      </w:pPr>
      <w:r w:rsidRPr="00C0426E">
        <w:rPr>
          <w:rFonts w:ascii="Simplified Arabic" w:eastAsiaTheme="minorEastAsia" w:hAnsi="Simplified Arabic" w:cs="Simplified Arabic"/>
          <w:b/>
          <w:bCs/>
          <w:sz w:val="28"/>
          <w:szCs w:val="28"/>
          <w:rtl/>
        </w:rPr>
        <w:lastRenderedPageBreak/>
        <w:t>جدول</w:t>
      </w:r>
      <w:r w:rsidR="001F036D" w:rsidRPr="00C0426E">
        <w:rPr>
          <w:rFonts w:ascii="Simplified Arabic" w:eastAsiaTheme="minorEastAsia" w:hAnsi="Simplified Arabic" w:cs="Simplified Arabic"/>
          <w:b/>
          <w:bCs/>
          <w:sz w:val="28"/>
          <w:szCs w:val="28"/>
          <w:rtl/>
        </w:rPr>
        <w:t>(</w:t>
      </w:r>
      <w:r w:rsidR="009424E1" w:rsidRPr="00C0426E">
        <w:rPr>
          <w:rFonts w:ascii="Simplified Arabic" w:eastAsiaTheme="minorEastAsia" w:hAnsi="Simplified Arabic" w:cs="Simplified Arabic"/>
          <w:b/>
          <w:bCs/>
          <w:sz w:val="28"/>
          <w:szCs w:val="28"/>
          <w:rtl/>
        </w:rPr>
        <w:t>1</w:t>
      </w:r>
      <w:r w:rsidR="00140E17">
        <w:rPr>
          <w:rFonts w:ascii="Simplified Arabic" w:eastAsiaTheme="minorEastAsia" w:hAnsi="Simplified Arabic" w:cs="Simplified Arabic" w:hint="cs"/>
          <w:b/>
          <w:bCs/>
          <w:sz w:val="28"/>
          <w:szCs w:val="28"/>
          <w:rtl/>
        </w:rPr>
        <w:t>1</w:t>
      </w:r>
      <w:r w:rsidR="001F036D" w:rsidRPr="00C0426E">
        <w:rPr>
          <w:rFonts w:ascii="Simplified Arabic" w:eastAsiaTheme="minorEastAsia" w:hAnsi="Simplified Arabic" w:cs="Simplified Arabic"/>
          <w:b/>
          <w:bCs/>
          <w:sz w:val="28"/>
          <w:szCs w:val="28"/>
          <w:rtl/>
        </w:rPr>
        <w:t>)</w:t>
      </w:r>
    </w:p>
    <w:p w:rsidR="001F036D" w:rsidRPr="00C0426E" w:rsidRDefault="001F036D" w:rsidP="00C0426E">
      <w:pPr>
        <w:spacing w:after="160"/>
        <w:jc w:val="center"/>
        <w:rPr>
          <w:rFonts w:ascii="Simplified Arabic" w:eastAsiaTheme="minorEastAsia" w:hAnsi="Simplified Arabic" w:cs="Simplified Arabic"/>
          <w:b/>
          <w:bCs/>
          <w:sz w:val="28"/>
          <w:szCs w:val="28"/>
          <w:rtl/>
        </w:rPr>
      </w:pPr>
      <w:r w:rsidRPr="00C0426E">
        <w:rPr>
          <w:rFonts w:ascii="Simplified Arabic" w:eastAsiaTheme="minorEastAsia" w:hAnsi="Simplified Arabic" w:cs="Simplified Arabic"/>
          <w:b/>
          <w:bCs/>
          <w:sz w:val="28"/>
          <w:szCs w:val="28"/>
          <w:rtl/>
        </w:rPr>
        <w:t xml:space="preserve">نتائج </w:t>
      </w:r>
      <w:proofErr w:type="spellStart"/>
      <w:r w:rsidRPr="00C0426E">
        <w:rPr>
          <w:rFonts w:ascii="Simplified Arabic" w:eastAsiaTheme="minorEastAsia" w:hAnsi="Simplified Arabic" w:cs="Simplified Arabic"/>
          <w:b/>
          <w:bCs/>
          <w:sz w:val="28"/>
          <w:szCs w:val="28"/>
          <w:rtl/>
        </w:rPr>
        <w:t>ال</w:t>
      </w:r>
      <w:r w:rsidR="007D426F" w:rsidRPr="00C0426E">
        <w:rPr>
          <w:rFonts w:ascii="Simplified Arabic" w:eastAsiaTheme="minorEastAsia" w:hAnsi="Simplified Arabic" w:cs="Simplified Arabic"/>
          <w:b/>
          <w:bCs/>
          <w:sz w:val="28"/>
          <w:szCs w:val="28"/>
          <w:rtl/>
        </w:rPr>
        <w:t>أ</w:t>
      </w:r>
      <w:r w:rsidRPr="00C0426E">
        <w:rPr>
          <w:rFonts w:ascii="Simplified Arabic" w:eastAsiaTheme="minorEastAsia" w:hAnsi="Simplified Arabic" w:cs="Simplified Arabic"/>
          <w:b/>
          <w:bCs/>
          <w:sz w:val="28"/>
          <w:szCs w:val="28"/>
          <w:rtl/>
        </w:rPr>
        <w:t>ختبار</w:t>
      </w:r>
      <w:proofErr w:type="spellEnd"/>
      <w:r w:rsidRPr="00C0426E">
        <w:rPr>
          <w:rFonts w:ascii="Simplified Arabic" w:eastAsiaTheme="minorEastAsia" w:hAnsi="Simplified Arabic" w:cs="Simplified Arabic"/>
          <w:b/>
          <w:bCs/>
          <w:sz w:val="28"/>
          <w:szCs w:val="28"/>
          <w:rtl/>
        </w:rPr>
        <w:t xml:space="preserve"> </w:t>
      </w:r>
      <w:proofErr w:type="spellStart"/>
      <w:r w:rsidRPr="00C0426E">
        <w:rPr>
          <w:rFonts w:ascii="Simplified Arabic" w:eastAsiaTheme="minorEastAsia" w:hAnsi="Simplified Arabic" w:cs="Simplified Arabic"/>
          <w:b/>
          <w:bCs/>
          <w:sz w:val="28"/>
          <w:szCs w:val="28"/>
          <w:rtl/>
        </w:rPr>
        <w:t>التائي</w:t>
      </w:r>
      <w:proofErr w:type="spellEnd"/>
      <w:r w:rsidRPr="00C0426E">
        <w:rPr>
          <w:rFonts w:ascii="Simplified Arabic" w:eastAsiaTheme="minorEastAsia" w:hAnsi="Simplified Arabic" w:cs="Simplified Arabic"/>
          <w:b/>
          <w:bCs/>
          <w:sz w:val="28"/>
          <w:szCs w:val="28"/>
          <w:rtl/>
        </w:rPr>
        <w:t xml:space="preserve"> لدرجات تلاميذ مجموعتي البحث في </w:t>
      </w:r>
      <w:proofErr w:type="spellStart"/>
      <w:r w:rsidR="007A7D9E">
        <w:rPr>
          <w:rFonts w:ascii="Simplified Arabic" w:eastAsiaTheme="minorEastAsia" w:hAnsi="Simplified Arabic" w:cs="Simplified Arabic" w:hint="cs"/>
          <w:b/>
          <w:bCs/>
          <w:sz w:val="28"/>
          <w:szCs w:val="28"/>
          <w:rtl/>
        </w:rPr>
        <w:t>ال</w:t>
      </w:r>
      <w:r w:rsidR="007D426F" w:rsidRPr="00C0426E">
        <w:rPr>
          <w:rFonts w:ascii="Simplified Arabic" w:eastAsiaTheme="minorEastAsia" w:hAnsi="Simplified Arabic" w:cs="Simplified Arabic"/>
          <w:b/>
          <w:bCs/>
          <w:sz w:val="28"/>
          <w:szCs w:val="28"/>
          <w:rtl/>
        </w:rPr>
        <w:t>أ</w:t>
      </w:r>
      <w:r w:rsidRPr="00C0426E">
        <w:rPr>
          <w:rFonts w:ascii="Simplified Arabic" w:eastAsiaTheme="minorEastAsia" w:hAnsi="Simplified Arabic" w:cs="Simplified Arabic"/>
          <w:b/>
          <w:bCs/>
          <w:sz w:val="28"/>
          <w:szCs w:val="28"/>
          <w:rtl/>
        </w:rPr>
        <w:t>ختبار</w:t>
      </w:r>
      <w:proofErr w:type="spellEnd"/>
      <w:r w:rsidRPr="00C0426E">
        <w:rPr>
          <w:rFonts w:ascii="Simplified Arabic" w:eastAsiaTheme="minorEastAsia" w:hAnsi="Simplified Arabic" w:cs="Simplified Arabic"/>
          <w:b/>
          <w:bCs/>
          <w:sz w:val="28"/>
          <w:szCs w:val="28"/>
          <w:rtl/>
        </w:rPr>
        <w:t xml:space="preserve"> التحصيل</w:t>
      </w:r>
      <w:r w:rsidR="00B238CD" w:rsidRPr="00C0426E">
        <w:rPr>
          <w:rFonts w:ascii="Simplified Arabic" w:eastAsiaTheme="minorEastAsia" w:hAnsi="Simplified Arabic" w:cs="Simplified Arabic"/>
          <w:b/>
          <w:bCs/>
          <w:sz w:val="28"/>
          <w:szCs w:val="28"/>
          <w:rtl/>
        </w:rPr>
        <w:t>ي</w:t>
      </w:r>
      <w:r w:rsidR="00F82AE0">
        <w:rPr>
          <w:rFonts w:ascii="Simplified Arabic" w:eastAsiaTheme="minorEastAsia" w:hAnsi="Simplified Arabic" w:cs="Simplified Arabic" w:hint="cs"/>
          <w:b/>
          <w:bCs/>
          <w:sz w:val="28"/>
          <w:szCs w:val="28"/>
          <w:rtl/>
        </w:rPr>
        <w:t>.</w:t>
      </w:r>
    </w:p>
    <w:tbl>
      <w:tblPr>
        <w:tblStyle w:val="4"/>
        <w:bidiVisual/>
        <w:tblW w:w="8795" w:type="dxa"/>
        <w:jc w:val="center"/>
        <w:tblInd w:w="1520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1062"/>
        <w:gridCol w:w="712"/>
        <w:gridCol w:w="1042"/>
        <w:gridCol w:w="1249"/>
        <w:gridCol w:w="781"/>
        <w:gridCol w:w="1075"/>
        <w:gridCol w:w="950"/>
        <w:gridCol w:w="1924"/>
      </w:tblGrid>
      <w:tr w:rsidR="00DB6EDC" w:rsidRPr="00C0426E" w:rsidTr="003A0974">
        <w:trPr>
          <w:trHeight w:val="874"/>
          <w:jc w:val="center"/>
        </w:trPr>
        <w:tc>
          <w:tcPr>
            <w:tcW w:w="106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DB6EDC" w:rsidRPr="00D22A3E" w:rsidRDefault="00DB6EDC" w:rsidP="002F14BC">
            <w:pPr>
              <w:keepNext/>
              <w:keepLines/>
              <w:spacing w:after="160" w:line="276" w:lineRule="auto"/>
              <w:ind w:left="113" w:right="113"/>
              <w:jc w:val="lowKashida"/>
              <w:outlineLvl w:val="7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 w:rsidRPr="00D22A3E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المجموعة</w:t>
            </w:r>
          </w:p>
        </w:tc>
        <w:tc>
          <w:tcPr>
            <w:tcW w:w="712" w:type="dxa"/>
            <w:vMerge w:val="restart"/>
            <w:shd w:val="clear" w:color="auto" w:fill="D9D9D9" w:themeFill="background1" w:themeFillShade="D9"/>
            <w:vAlign w:val="center"/>
          </w:tcPr>
          <w:p w:rsidR="00DB6EDC" w:rsidRPr="00D22A3E" w:rsidRDefault="00DB6EDC" w:rsidP="00C0426E">
            <w:pPr>
              <w:spacing w:after="160" w:line="276" w:lineRule="auto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22A3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عدد العينة</w:t>
            </w:r>
          </w:p>
        </w:tc>
        <w:tc>
          <w:tcPr>
            <w:tcW w:w="1042" w:type="dxa"/>
            <w:vMerge w:val="restart"/>
            <w:shd w:val="clear" w:color="auto" w:fill="D9D9D9" w:themeFill="background1" w:themeFillShade="D9"/>
            <w:vAlign w:val="center"/>
          </w:tcPr>
          <w:p w:rsidR="00DB6EDC" w:rsidRPr="00D22A3E" w:rsidRDefault="00DB6EDC" w:rsidP="00C0426E">
            <w:pPr>
              <w:spacing w:after="160" w:line="276" w:lineRule="auto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22A3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المتوسط الحسابي</w:t>
            </w:r>
          </w:p>
        </w:tc>
        <w:tc>
          <w:tcPr>
            <w:tcW w:w="1249" w:type="dxa"/>
            <w:vMerge w:val="restart"/>
            <w:shd w:val="clear" w:color="auto" w:fill="D9D9D9" w:themeFill="background1" w:themeFillShade="D9"/>
          </w:tcPr>
          <w:p w:rsidR="00DB6EDC" w:rsidRPr="00D22A3E" w:rsidRDefault="00DB6EDC" w:rsidP="00C0426E">
            <w:pPr>
              <w:spacing w:after="160" w:line="276" w:lineRule="auto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D22A3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التباين </w:t>
            </w:r>
          </w:p>
        </w:tc>
        <w:tc>
          <w:tcPr>
            <w:tcW w:w="781" w:type="dxa"/>
            <w:vMerge w:val="restart"/>
            <w:shd w:val="clear" w:color="auto" w:fill="D9D9D9" w:themeFill="background1" w:themeFillShade="D9"/>
            <w:vAlign w:val="center"/>
          </w:tcPr>
          <w:p w:rsidR="00DB6EDC" w:rsidRPr="00D22A3E" w:rsidRDefault="00DB6EDC" w:rsidP="00C0426E">
            <w:pPr>
              <w:spacing w:after="160" w:line="276" w:lineRule="auto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22A3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درجة الحرية</w:t>
            </w:r>
          </w:p>
        </w:tc>
        <w:tc>
          <w:tcPr>
            <w:tcW w:w="2025" w:type="dxa"/>
            <w:gridSpan w:val="2"/>
            <w:shd w:val="clear" w:color="auto" w:fill="D9D9D9" w:themeFill="background1" w:themeFillShade="D9"/>
            <w:vAlign w:val="center"/>
          </w:tcPr>
          <w:p w:rsidR="00DB6EDC" w:rsidRPr="00D22A3E" w:rsidRDefault="00DB6EDC" w:rsidP="00C0426E">
            <w:pPr>
              <w:spacing w:after="160" w:line="276" w:lineRule="auto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22A3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    القيمة </w:t>
            </w:r>
            <w:proofErr w:type="spellStart"/>
            <w:r w:rsidRPr="00D22A3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التائية</w:t>
            </w:r>
            <w:proofErr w:type="spellEnd"/>
          </w:p>
        </w:tc>
        <w:tc>
          <w:tcPr>
            <w:tcW w:w="1924" w:type="dxa"/>
            <w:vMerge w:val="restart"/>
            <w:shd w:val="clear" w:color="auto" w:fill="D9D9D9" w:themeFill="background1" w:themeFillShade="D9"/>
            <w:vAlign w:val="center"/>
          </w:tcPr>
          <w:p w:rsidR="00DB6EDC" w:rsidRPr="00D22A3E" w:rsidRDefault="00DB6EDC" w:rsidP="00C0426E">
            <w:pPr>
              <w:spacing w:after="160" w:line="276" w:lineRule="auto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Y"/>
              </w:rPr>
            </w:pPr>
            <w:r w:rsidRPr="00D22A3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Y"/>
              </w:rPr>
              <w:t>مستوى الدلالة(0.05)</w:t>
            </w:r>
          </w:p>
        </w:tc>
      </w:tr>
      <w:tr w:rsidR="00DB6EDC" w:rsidRPr="00C0426E" w:rsidTr="003A0974">
        <w:trPr>
          <w:trHeight w:val="179"/>
          <w:jc w:val="center"/>
        </w:trPr>
        <w:tc>
          <w:tcPr>
            <w:tcW w:w="1062" w:type="dxa"/>
            <w:vMerge/>
            <w:textDirection w:val="btLr"/>
            <w:vAlign w:val="center"/>
          </w:tcPr>
          <w:p w:rsidR="00DB6EDC" w:rsidRPr="00C0426E" w:rsidRDefault="00DB6EDC" w:rsidP="002F14BC">
            <w:pPr>
              <w:spacing w:after="160" w:line="276" w:lineRule="auto"/>
              <w:ind w:left="113" w:right="113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2" w:type="dxa"/>
            <w:vMerge/>
            <w:vAlign w:val="center"/>
          </w:tcPr>
          <w:p w:rsidR="00DB6EDC" w:rsidRPr="00C0426E" w:rsidRDefault="00DB6EDC" w:rsidP="00C0426E">
            <w:pPr>
              <w:spacing w:after="160" w:line="276" w:lineRule="auto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42" w:type="dxa"/>
            <w:vMerge/>
            <w:shd w:val="clear" w:color="auto" w:fill="BFBFBF" w:themeFill="background1" w:themeFillShade="BF"/>
            <w:vAlign w:val="center"/>
          </w:tcPr>
          <w:p w:rsidR="00DB6EDC" w:rsidRPr="00C0426E" w:rsidRDefault="00DB6EDC" w:rsidP="00C0426E">
            <w:pPr>
              <w:spacing w:after="160" w:line="276" w:lineRule="auto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9" w:type="dxa"/>
            <w:vMerge/>
          </w:tcPr>
          <w:p w:rsidR="00DB6EDC" w:rsidRPr="00C0426E" w:rsidRDefault="00DB6EDC" w:rsidP="00C0426E">
            <w:pPr>
              <w:spacing w:after="160" w:line="276" w:lineRule="auto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81" w:type="dxa"/>
            <w:vMerge/>
            <w:vAlign w:val="center"/>
          </w:tcPr>
          <w:p w:rsidR="00DB6EDC" w:rsidRPr="00C0426E" w:rsidRDefault="00DB6EDC" w:rsidP="00C0426E">
            <w:pPr>
              <w:spacing w:after="160" w:line="276" w:lineRule="auto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5" w:type="dxa"/>
            <w:shd w:val="clear" w:color="auto" w:fill="E5B8B7" w:themeFill="accent2" w:themeFillTint="66"/>
            <w:vAlign w:val="center"/>
          </w:tcPr>
          <w:p w:rsidR="00DB6EDC" w:rsidRPr="00C0426E" w:rsidRDefault="00DB6EDC" w:rsidP="00C0426E">
            <w:pPr>
              <w:spacing w:after="160" w:line="276" w:lineRule="auto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Y"/>
              </w:rPr>
            </w:pPr>
            <w:r w:rsidRPr="00C0426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Y"/>
              </w:rPr>
              <w:t>المحسوبة</w:t>
            </w:r>
          </w:p>
        </w:tc>
        <w:tc>
          <w:tcPr>
            <w:tcW w:w="950" w:type="dxa"/>
            <w:shd w:val="clear" w:color="auto" w:fill="E5B8B7" w:themeFill="accent2" w:themeFillTint="66"/>
            <w:vAlign w:val="center"/>
          </w:tcPr>
          <w:p w:rsidR="00DB6EDC" w:rsidRPr="00C0426E" w:rsidRDefault="00DB6EDC" w:rsidP="00C0426E">
            <w:pPr>
              <w:spacing w:after="160" w:line="276" w:lineRule="auto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Y"/>
              </w:rPr>
            </w:pPr>
            <w:r w:rsidRPr="00C0426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Y"/>
              </w:rPr>
              <w:t>الجدولية</w:t>
            </w:r>
          </w:p>
        </w:tc>
        <w:tc>
          <w:tcPr>
            <w:tcW w:w="1924" w:type="dxa"/>
            <w:vMerge/>
            <w:shd w:val="clear" w:color="auto" w:fill="BFBFBF" w:themeFill="background1" w:themeFillShade="BF"/>
            <w:vAlign w:val="center"/>
          </w:tcPr>
          <w:p w:rsidR="00DB6EDC" w:rsidRPr="00C0426E" w:rsidRDefault="00DB6EDC" w:rsidP="00C0426E">
            <w:pPr>
              <w:spacing w:after="160" w:line="276" w:lineRule="auto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DB6EDC" w:rsidRPr="00C0426E" w:rsidTr="003A0974">
        <w:trPr>
          <w:cantSplit/>
          <w:trHeight w:val="1134"/>
          <w:jc w:val="center"/>
        </w:trPr>
        <w:tc>
          <w:tcPr>
            <w:tcW w:w="1062" w:type="dxa"/>
            <w:shd w:val="clear" w:color="auto" w:fill="E5B8B7" w:themeFill="accent2" w:themeFillTint="66"/>
            <w:textDirection w:val="btLr"/>
            <w:vAlign w:val="center"/>
          </w:tcPr>
          <w:p w:rsidR="00DB6EDC" w:rsidRPr="00C0426E" w:rsidRDefault="00DB6EDC" w:rsidP="002F14BC">
            <w:pPr>
              <w:spacing w:after="160" w:line="276" w:lineRule="auto"/>
              <w:ind w:left="113" w:right="113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0426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التجريبية</w:t>
            </w:r>
          </w:p>
        </w:tc>
        <w:tc>
          <w:tcPr>
            <w:tcW w:w="712" w:type="dxa"/>
            <w:vAlign w:val="center"/>
          </w:tcPr>
          <w:p w:rsidR="00DB6EDC" w:rsidRPr="00C0426E" w:rsidRDefault="00DB6EDC" w:rsidP="00C0426E">
            <w:pPr>
              <w:spacing w:after="160" w:line="276" w:lineRule="auto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0426E">
              <w:rPr>
                <w:rFonts w:ascii="Simplified Arabic" w:hAnsi="Simplified Arabic" w:cs="Simplified Arabic"/>
                <w:sz w:val="28"/>
                <w:szCs w:val="28"/>
                <w:rtl/>
              </w:rPr>
              <w:t>30</w:t>
            </w:r>
          </w:p>
        </w:tc>
        <w:tc>
          <w:tcPr>
            <w:tcW w:w="1042" w:type="dxa"/>
            <w:vAlign w:val="center"/>
          </w:tcPr>
          <w:p w:rsidR="00DB6EDC" w:rsidRPr="00C0426E" w:rsidRDefault="00DB6EDC" w:rsidP="00C0426E">
            <w:pPr>
              <w:spacing w:after="160" w:line="276" w:lineRule="auto"/>
              <w:jc w:val="lowKashida"/>
              <w:rPr>
                <w:rFonts w:ascii="Simplified Arabic" w:eastAsiaTheme="minorEastAsia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 w:rsidRPr="00C0426E">
              <w:rPr>
                <w:rFonts w:ascii="Simplified Arabic" w:eastAsiaTheme="minorEastAsia" w:hAnsi="Simplified Arabic" w:cs="Simplified Arabic"/>
                <w:color w:val="000000"/>
                <w:sz w:val="28"/>
                <w:szCs w:val="28"/>
                <w:rtl/>
                <w:lang w:bidi="ar-IQ"/>
              </w:rPr>
              <w:t>80.667</w:t>
            </w:r>
          </w:p>
        </w:tc>
        <w:tc>
          <w:tcPr>
            <w:tcW w:w="1249" w:type="dxa"/>
          </w:tcPr>
          <w:p w:rsidR="00DB6EDC" w:rsidRPr="00C0426E" w:rsidRDefault="00DB6EDC" w:rsidP="0008307E">
            <w:pPr>
              <w:spacing w:after="160"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0426E">
              <w:rPr>
                <w:rFonts w:ascii="Simplified Arabic" w:hAnsi="Simplified Arabic" w:cs="Simplified Arabic"/>
                <w:sz w:val="28"/>
                <w:szCs w:val="28"/>
                <w:rtl/>
              </w:rPr>
              <w:t>74.023</w:t>
            </w:r>
          </w:p>
        </w:tc>
        <w:tc>
          <w:tcPr>
            <w:tcW w:w="781" w:type="dxa"/>
            <w:vMerge w:val="restart"/>
            <w:vAlign w:val="center"/>
          </w:tcPr>
          <w:p w:rsidR="00DB6EDC" w:rsidRPr="00C0426E" w:rsidRDefault="00DB6EDC" w:rsidP="00C0426E">
            <w:pPr>
              <w:spacing w:after="160" w:line="276" w:lineRule="auto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0426E">
              <w:rPr>
                <w:rFonts w:ascii="Simplified Arabic" w:hAnsi="Simplified Arabic" w:cs="Simplified Arabic"/>
                <w:sz w:val="28"/>
                <w:szCs w:val="28"/>
                <w:rtl/>
              </w:rPr>
              <w:t>58</w:t>
            </w:r>
          </w:p>
        </w:tc>
        <w:tc>
          <w:tcPr>
            <w:tcW w:w="1075" w:type="dxa"/>
            <w:vMerge w:val="restart"/>
            <w:vAlign w:val="center"/>
          </w:tcPr>
          <w:p w:rsidR="00DB6EDC" w:rsidRPr="00C0426E" w:rsidRDefault="00DB6EDC" w:rsidP="00C0426E">
            <w:pPr>
              <w:spacing w:after="160" w:line="276" w:lineRule="auto"/>
              <w:jc w:val="lowKashida"/>
              <w:rPr>
                <w:rFonts w:ascii="Simplified Arabic" w:eastAsiaTheme="minorEastAsia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 w:rsidRPr="00C0426E">
              <w:rPr>
                <w:rFonts w:ascii="Simplified Arabic" w:eastAsiaTheme="minorEastAsia" w:hAnsi="Simplified Arabic" w:cs="Simplified Arabic"/>
                <w:color w:val="000000"/>
                <w:sz w:val="28"/>
                <w:szCs w:val="28"/>
                <w:rtl/>
                <w:lang w:bidi="ar-IQ"/>
              </w:rPr>
              <w:t>4.957</w:t>
            </w:r>
          </w:p>
        </w:tc>
        <w:tc>
          <w:tcPr>
            <w:tcW w:w="950" w:type="dxa"/>
            <w:vMerge w:val="restart"/>
            <w:vAlign w:val="center"/>
          </w:tcPr>
          <w:p w:rsidR="00DB6EDC" w:rsidRPr="00C0426E" w:rsidRDefault="00DB6EDC" w:rsidP="00C0426E">
            <w:pPr>
              <w:spacing w:after="160" w:line="276" w:lineRule="auto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0426E">
              <w:rPr>
                <w:rFonts w:ascii="Simplified Arabic" w:hAnsi="Simplified Arabic" w:cs="Simplified Arabic"/>
                <w:sz w:val="28"/>
                <w:szCs w:val="28"/>
                <w:rtl/>
              </w:rPr>
              <w:t>2</w:t>
            </w:r>
          </w:p>
        </w:tc>
        <w:tc>
          <w:tcPr>
            <w:tcW w:w="1924" w:type="dxa"/>
            <w:vMerge w:val="restart"/>
            <w:vAlign w:val="center"/>
          </w:tcPr>
          <w:p w:rsidR="00DB6EDC" w:rsidRPr="00C0426E" w:rsidRDefault="00DB6EDC" w:rsidP="005B2015">
            <w:pPr>
              <w:spacing w:after="160" w:line="276" w:lineRule="auto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0426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دالة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</w:t>
            </w:r>
            <w:r w:rsidRPr="00C0426E">
              <w:rPr>
                <w:rFonts w:ascii="Simplified Arabic" w:hAnsi="Simplified Arabic" w:cs="Simplified Arabic"/>
                <w:sz w:val="28"/>
                <w:szCs w:val="28"/>
                <w:rtl/>
              </w:rPr>
              <w:t>حصائياً</w:t>
            </w:r>
          </w:p>
        </w:tc>
      </w:tr>
      <w:tr w:rsidR="00DB6EDC" w:rsidRPr="00C0426E" w:rsidTr="003A0974">
        <w:trPr>
          <w:cantSplit/>
          <w:trHeight w:val="1134"/>
          <w:jc w:val="center"/>
        </w:trPr>
        <w:tc>
          <w:tcPr>
            <w:tcW w:w="1062" w:type="dxa"/>
            <w:shd w:val="clear" w:color="auto" w:fill="E5B8B7" w:themeFill="accent2" w:themeFillTint="66"/>
            <w:textDirection w:val="btLr"/>
            <w:vAlign w:val="center"/>
          </w:tcPr>
          <w:p w:rsidR="00DB6EDC" w:rsidRPr="00C0426E" w:rsidRDefault="00DB6EDC" w:rsidP="002F14BC">
            <w:pPr>
              <w:spacing w:after="160" w:line="276" w:lineRule="auto"/>
              <w:ind w:left="113" w:right="113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0426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الضابطة</w:t>
            </w:r>
          </w:p>
        </w:tc>
        <w:tc>
          <w:tcPr>
            <w:tcW w:w="712" w:type="dxa"/>
            <w:vAlign w:val="center"/>
          </w:tcPr>
          <w:p w:rsidR="00DB6EDC" w:rsidRPr="00C0426E" w:rsidRDefault="00DB6EDC" w:rsidP="00C0426E">
            <w:pPr>
              <w:spacing w:after="160" w:line="276" w:lineRule="auto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0426E">
              <w:rPr>
                <w:rFonts w:ascii="Simplified Arabic" w:hAnsi="Simplified Arabic" w:cs="Simplified Arabic"/>
                <w:sz w:val="28"/>
                <w:szCs w:val="28"/>
                <w:rtl/>
              </w:rPr>
              <w:t>30</w:t>
            </w:r>
          </w:p>
        </w:tc>
        <w:tc>
          <w:tcPr>
            <w:tcW w:w="1042" w:type="dxa"/>
            <w:vAlign w:val="center"/>
          </w:tcPr>
          <w:p w:rsidR="00DB6EDC" w:rsidRPr="00C0426E" w:rsidRDefault="00DB6EDC" w:rsidP="00C0426E">
            <w:pPr>
              <w:spacing w:after="160" w:line="276" w:lineRule="auto"/>
              <w:jc w:val="lowKashida"/>
              <w:rPr>
                <w:rFonts w:ascii="Simplified Arabic" w:eastAsiaTheme="minorEastAsia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 w:rsidRPr="00C0426E">
              <w:rPr>
                <w:rFonts w:ascii="Simplified Arabic" w:eastAsiaTheme="minorEastAsia" w:hAnsi="Simplified Arabic" w:cs="Simplified Arabic"/>
                <w:color w:val="000000"/>
                <w:sz w:val="28"/>
                <w:szCs w:val="28"/>
                <w:rtl/>
                <w:lang w:bidi="ar-IQ"/>
              </w:rPr>
              <w:t>64.600</w:t>
            </w:r>
          </w:p>
        </w:tc>
        <w:tc>
          <w:tcPr>
            <w:tcW w:w="1249" w:type="dxa"/>
          </w:tcPr>
          <w:p w:rsidR="00DB6EDC" w:rsidRPr="00C0426E" w:rsidRDefault="00DB6EDC" w:rsidP="00C0426E">
            <w:pPr>
              <w:spacing w:after="160" w:line="276" w:lineRule="auto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Y"/>
              </w:rPr>
            </w:pPr>
            <w:r w:rsidRPr="00C0426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Y"/>
              </w:rPr>
              <w:t>241.145</w:t>
            </w:r>
          </w:p>
        </w:tc>
        <w:tc>
          <w:tcPr>
            <w:tcW w:w="781" w:type="dxa"/>
            <w:vMerge/>
            <w:vAlign w:val="center"/>
          </w:tcPr>
          <w:p w:rsidR="00DB6EDC" w:rsidRPr="00C0426E" w:rsidRDefault="00DB6EDC" w:rsidP="00C0426E">
            <w:pPr>
              <w:spacing w:after="160" w:line="276" w:lineRule="auto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075" w:type="dxa"/>
            <w:vMerge/>
            <w:vAlign w:val="center"/>
          </w:tcPr>
          <w:p w:rsidR="00DB6EDC" w:rsidRPr="00C0426E" w:rsidRDefault="00DB6EDC" w:rsidP="00C0426E">
            <w:pPr>
              <w:spacing w:after="160" w:line="276" w:lineRule="auto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50" w:type="dxa"/>
            <w:vMerge/>
            <w:vAlign w:val="center"/>
          </w:tcPr>
          <w:p w:rsidR="00DB6EDC" w:rsidRPr="00C0426E" w:rsidRDefault="00DB6EDC" w:rsidP="00C0426E">
            <w:pPr>
              <w:spacing w:after="160" w:line="276" w:lineRule="auto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924" w:type="dxa"/>
            <w:vMerge/>
            <w:vAlign w:val="center"/>
          </w:tcPr>
          <w:p w:rsidR="00DB6EDC" w:rsidRPr="00C0426E" w:rsidRDefault="00DB6EDC" w:rsidP="00C0426E">
            <w:pPr>
              <w:spacing w:after="160" w:line="276" w:lineRule="auto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</w:tbl>
    <w:p w:rsidR="0008307E" w:rsidRDefault="0008307E" w:rsidP="00C0426E">
      <w:pPr>
        <w:spacing w:after="160"/>
        <w:jc w:val="lowKashida"/>
        <w:rPr>
          <w:rFonts w:ascii="Simplified Arabic" w:eastAsiaTheme="minorEastAsia" w:hAnsi="Simplified Arabic" w:cs="Simplified Arabic"/>
          <w:sz w:val="28"/>
          <w:szCs w:val="28"/>
          <w:rtl/>
        </w:rPr>
      </w:pPr>
    </w:p>
    <w:p w:rsidR="001D2422" w:rsidRPr="005F0D63" w:rsidRDefault="00F82AE0" w:rsidP="00B8475F">
      <w:pPr>
        <w:spacing w:after="160"/>
        <w:jc w:val="lowKashida"/>
        <w:rPr>
          <w:rFonts w:ascii="Simplified Arabic" w:eastAsiaTheme="minorEastAsia" w:hAnsi="Simplified Arabic" w:cs="Simplified Arabic"/>
          <w:sz w:val="28"/>
          <w:szCs w:val="28"/>
          <w:rtl/>
        </w:rPr>
      </w:pPr>
      <w:r>
        <w:rPr>
          <w:rFonts w:ascii="Simplified Arabic" w:eastAsiaTheme="minorEastAsia" w:hAnsi="Simplified Arabic" w:cs="Simplified Arabic" w:hint="cs"/>
          <w:sz w:val="28"/>
          <w:szCs w:val="28"/>
          <w:rtl/>
        </w:rPr>
        <w:t xml:space="preserve">نلحظ </w:t>
      </w:r>
      <w:r w:rsidR="001F036D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من جدول </w:t>
      </w:r>
      <w:r>
        <w:rPr>
          <w:rFonts w:ascii="Simplified Arabic" w:eastAsiaTheme="minorEastAsia" w:hAnsi="Simplified Arabic" w:cs="Simplified Arabic" w:hint="cs"/>
          <w:sz w:val="28"/>
          <w:szCs w:val="28"/>
          <w:rtl/>
        </w:rPr>
        <w:t>(1</w:t>
      </w:r>
      <w:r w:rsidR="00140E17">
        <w:rPr>
          <w:rFonts w:ascii="Simplified Arabic" w:eastAsiaTheme="minorEastAsia" w:hAnsi="Simplified Arabic" w:cs="Simplified Arabic" w:hint="cs"/>
          <w:sz w:val="28"/>
          <w:szCs w:val="28"/>
          <w:rtl/>
        </w:rPr>
        <w:t>1</w:t>
      </w:r>
      <w:r>
        <w:rPr>
          <w:rFonts w:ascii="Simplified Arabic" w:eastAsiaTheme="minorEastAsia" w:hAnsi="Simplified Arabic" w:cs="Simplified Arabic" w:hint="cs"/>
          <w:sz w:val="28"/>
          <w:szCs w:val="28"/>
          <w:rtl/>
        </w:rPr>
        <w:t xml:space="preserve">) </w:t>
      </w:r>
      <w:r w:rsidR="001D2B93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أ</w:t>
      </w:r>
      <w:r w:rsidR="001F036D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ن</w:t>
      </w:r>
      <w:r w:rsidR="001D2B93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ّ</w:t>
      </w:r>
      <w:r w:rsidR="001F036D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 متوسط درجات </w:t>
      </w:r>
      <w:r w:rsidR="00101DD3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تلاميذ </w:t>
      </w:r>
      <w:r w:rsidR="001F036D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المجموعة التجريبية ا</w:t>
      </w:r>
      <w:r w:rsidR="007D426F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ل</w:t>
      </w:r>
      <w:r w:rsidR="001F036D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ذين </w:t>
      </w:r>
      <w:r w:rsidR="009E379A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يدرسون على وفق </w:t>
      </w:r>
      <w:proofErr w:type="spellStart"/>
      <w:r w:rsidR="009E379A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إ</w:t>
      </w:r>
      <w:r w:rsidR="001F036D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ستراتيجية</w:t>
      </w:r>
      <w:proofErr w:type="spellEnd"/>
      <w:r w:rsidR="001F036D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 </w:t>
      </w:r>
      <w:r w:rsidR="00101DD3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دورة التعلم السباعية </w:t>
      </w:r>
      <w:r w:rsidR="00AA7352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بلغ</w:t>
      </w:r>
      <w:r w:rsidR="001F036D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(</w:t>
      </w:r>
      <w:r w:rsidR="00B3673C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80.667</w:t>
      </w:r>
      <w:r w:rsidR="00AA7352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) وبلغ الانحراف المعياري </w:t>
      </w:r>
      <w:r w:rsidR="001F036D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(</w:t>
      </w:r>
      <w:r w:rsidR="00A46518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8.603</w:t>
      </w:r>
      <w:r w:rsidR="001F036D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)، </w:t>
      </w:r>
      <w:r w:rsidR="007D426F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أ</w:t>
      </w:r>
      <w:r w:rsidR="001F036D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ما متوسط درجات </w:t>
      </w:r>
      <w:r w:rsidR="00101DD3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تلاميذ </w:t>
      </w:r>
      <w:r w:rsidR="001F036D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المجموعة الضابطة ا</w:t>
      </w:r>
      <w:r w:rsidR="007D426F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ل</w:t>
      </w:r>
      <w:r w:rsidR="001F036D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ذين </w:t>
      </w:r>
      <w:r w:rsidR="009E379A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يدرسون على وفق ا</w:t>
      </w:r>
      <w:r w:rsidR="001F036D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لطريقة </w:t>
      </w:r>
      <w:proofErr w:type="spellStart"/>
      <w:r w:rsidR="00101DD3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ال</w:t>
      </w:r>
      <w:r w:rsidR="007D426F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أ</w:t>
      </w:r>
      <w:r w:rsidR="00101DD3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ستقرائية</w:t>
      </w:r>
      <w:proofErr w:type="spellEnd"/>
      <w:r w:rsidR="00101DD3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 </w:t>
      </w:r>
      <w:r w:rsidR="001F036D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بلغ (</w:t>
      </w:r>
      <w:r w:rsidR="00A46518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64.600</w:t>
      </w:r>
      <w:r w:rsidR="00027C42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) وبانحراف معياري</w:t>
      </w:r>
      <w:r w:rsidR="001F036D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(</w:t>
      </w:r>
      <w:r w:rsidR="00A46518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15.529</w:t>
      </w:r>
      <w:r w:rsidR="00B3673C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)</w:t>
      </w:r>
      <w:r w:rsidR="001F036D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، ولمعرفة دلالة ا</w:t>
      </w:r>
      <w:r w:rsidR="00101DD3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لفرق الإحصائي </w:t>
      </w:r>
      <w:r w:rsidR="00B3673C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أ</w:t>
      </w:r>
      <w:r w:rsidR="00101DD3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ستعمل الباحث</w:t>
      </w:r>
      <w:r w:rsidR="00111FC1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 الاختبار </w:t>
      </w:r>
      <w:proofErr w:type="spellStart"/>
      <w:r w:rsidR="001F036D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التائي</w:t>
      </w:r>
      <w:proofErr w:type="spellEnd"/>
      <w:r w:rsidR="001F036D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(</w:t>
      </w:r>
      <w:r w:rsidR="001F036D" w:rsidRPr="00C0426E">
        <w:rPr>
          <w:rFonts w:ascii="Simplified Arabic" w:eastAsiaTheme="minorEastAsia" w:hAnsi="Simplified Arabic" w:cs="Simplified Arabic"/>
          <w:sz w:val="28"/>
          <w:szCs w:val="28"/>
        </w:rPr>
        <w:t>t-test</w:t>
      </w:r>
      <w:r w:rsidR="001F036D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) لعينتين مستقلتين</w:t>
      </w:r>
      <w:r w:rsidR="00F26685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 متساويتين</w:t>
      </w:r>
      <w:r w:rsidR="001F036D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، كما يتبين </w:t>
      </w:r>
      <w:r w:rsidR="00B3673C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أ</w:t>
      </w:r>
      <w:r w:rsidR="00027C42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ن القيمة </w:t>
      </w:r>
      <w:proofErr w:type="spellStart"/>
      <w:r w:rsidR="00027C42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التائية</w:t>
      </w:r>
      <w:proofErr w:type="spellEnd"/>
      <w:r w:rsidR="00027C42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 المحسوبة بلغت</w:t>
      </w:r>
      <w:r w:rsidR="001F036D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(</w:t>
      </w:r>
      <w:r w:rsidR="00A46518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4.957</w:t>
      </w:r>
      <w:r w:rsidR="001F036D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) وهي </w:t>
      </w:r>
      <w:r w:rsidR="00AA7352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أكبر من القيمة الجدولية البالغة</w:t>
      </w:r>
      <w:r w:rsidR="001F036D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(2</w:t>
      </w:r>
      <w:r w:rsidR="00D06CC9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.000</w:t>
      </w:r>
      <w:r w:rsidR="00027C42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) عند مستوى دلالة(0,05) ودرجة حرية(</w:t>
      </w:r>
      <w:r w:rsidR="001F036D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58) </w:t>
      </w:r>
      <w:r w:rsidR="00F26685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أي </w:t>
      </w:r>
      <w:r w:rsidR="000A6466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أ</w:t>
      </w:r>
      <w:r w:rsidR="00F26685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ن</w:t>
      </w:r>
      <w:r w:rsidR="001D2B93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ّ</w:t>
      </w:r>
      <w:r w:rsidR="00F26685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 النتيجة دالة </w:t>
      </w:r>
      <w:r w:rsidR="001D2B93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إ</w:t>
      </w:r>
      <w:r w:rsidR="00F26685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حص</w:t>
      </w:r>
      <w:r w:rsidR="00027C42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ائياً ولصالح المجموعة التجريبية</w:t>
      </w:r>
      <w:r w:rsidR="00F26685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، وبذلك تم رفض الفرضية الصفرية</w:t>
      </w:r>
      <w:r w:rsidR="00027C42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 الأولى</w:t>
      </w:r>
      <w:r w:rsidR="00AA7352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 القائلة</w:t>
      </w:r>
      <w:r w:rsidR="00F26685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 بعدم وجود ف</w:t>
      </w:r>
      <w:r w:rsidR="00111FC1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روق ذات دلالة إحصائية عند مستوى</w:t>
      </w:r>
      <w:r w:rsidR="00F26685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(0,05) بين متوسط درجات تلاميذ المجموعة التجريبية ا</w:t>
      </w:r>
      <w:r w:rsidR="00B238CD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ل</w:t>
      </w:r>
      <w:r w:rsidR="00F26685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ذين يدرسون على وفق </w:t>
      </w:r>
      <w:proofErr w:type="spellStart"/>
      <w:r w:rsidR="001D2B93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إ</w:t>
      </w:r>
      <w:r w:rsidR="00F26685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ستراتيجية</w:t>
      </w:r>
      <w:proofErr w:type="spellEnd"/>
      <w:r w:rsidR="00F26685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 </w:t>
      </w:r>
      <w:r w:rsidR="00027C42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دورة التعلم السباعية</w:t>
      </w:r>
      <w:r w:rsidR="00F26685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 ومتوسط درجات تلاميذ المجموعة الضابطة ا</w:t>
      </w:r>
      <w:r w:rsidR="007D426F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ل</w:t>
      </w:r>
      <w:r w:rsidR="00F26685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ذين يدرسون على وفق الطريقة </w:t>
      </w:r>
      <w:proofErr w:type="spellStart"/>
      <w:r w:rsidR="00F26685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ال</w:t>
      </w:r>
      <w:r w:rsidR="001D2B93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أ</w:t>
      </w:r>
      <w:r w:rsidR="00027C42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ستقرائية</w:t>
      </w:r>
      <w:proofErr w:type="spellEnd"/>
      <w:r w:rsidR="00F26685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 في </w:t>
      </w:r>
      <w:proofErr w:type="spellStart"/>
      <w:r w:rsidR="007A7D9E">
        <w:rPr>
          <w:rFonts w:ascii="Simplified Arabic" w:eastAsiaTheme="minorEastAsia" w:hAnsi="Simplified Arabic" w:cs="Simplified Arabic" w:hint="cs"/>
          <w:sz w:val="28"/>
          <w:szCs w:val="28"/>
          <w:rtl/>
        </w:rPr>
        <w:t>ال</w:t>
      </w:r>
      <w:r w:rsidR="007D426F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أ</w:t>
      </w:r>
      <w:r w:rsidR="00F26685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ختبار</w:t>
      </w:r>
      <w:proofErr w:type="spellEnd"/>
      <w:r w:rsidR="000A6466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Theme="minorEastAsia" w:hAnsi="Simplified Arabic" w:cs="Simplified Arabic" w:hint="cs"/>
          <w:sz w:val="28"/>
          <w:szCs w:val="28"/>
          <w:rtl/>
        </w:rPr>
        <w:t>ال</w:t>
      </w:r>
      <w:r w:rsidR="000A6466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تحصيل</w:t>
      </w:r>
      <w:r w:rsidR="00B238CD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ي</w:t>
      </w:r>
      <w:r w:rsidR="00F26685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.</w:t>
      </w:r>
    </w:p>
    <w:p w:rsidR="001D2422" w:rsidRDefault="001D2422" w:rsidP="005B2015">
      <w:pPr>
        <w:spacing w:after="0"/>
        <w:jc w:val="lowKashida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  <w:r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lastRenderedPageBreak/>
        <w:t xml:space="preserve"> </w:t>
      </w:r>
      <w:r w:rsidRPr="00C0426E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="00C77BC3" w:rsidRPr="00C0426E">
        <w:rPr>
          <w:rFonts w:ascii="Simplified Arabic" w:hAnsi="Simplified Arabic" w:cs="Simplified Arabic"/>
          <w:noProof/>
          <w:sz w:val="28"/>
          <w:szCs w:val="28"/>
        </w:rPr>
        <w:drawing>
          <wp:inline distT="0" distB="0" distL="0" distR="0" wp14:anchorId="0F157819" wp14:editId="45AD15A6">
            <wp:extent cx="5514975" cy="3943350"/>
            <wp:effectExtent l="0" t="0" r="9525" b="19050"/>
            <wp:docPr id="1" name="مخطط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B2015" w:rsidRDefault="005F0D63" w:rsidP="005B2015">
      <w:pPr>
        <w:spacing w:after="0"/>
        <w:jc w:val="lowKashida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 xml:space="preserve">                                                  المخطط(6)</w:t>
      </w:r>
    </w:p>
    <w:p w:rsidR="005F0D63" w:rsidRPr="00C0426E" w:rsidRDefault="005F0D63" w:rsidP="005B2015">
      <w:pPr>
        <w:spacing w:after="0"/>
        <w:jc w:val="lowKashida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 xml:space="preserve">   </w:t>
      </w:r>
      <w:r w:rsidRPr="00C0426E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 xml:space="preserve">الاوساط الحسابية </w:t>
      </w:r>
      <w:r w:rsidRPr="00FD523F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>في الاختبارات</w:t>
      </w:r>
      <w:r w:rsidRPr="00C0426E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 xml:space="preserve"> البعدية للمجموعتين التجريبية والضابطة في الاختبار التحصيلي</w:t>
      </w:r>
    </w:p>
    <w:p w:rsidR="001F036D" w:rsidRPr="00FD523F" w:rsidRDefault="001F036D" w:rsidP="00420807">
      <w:pPr>
        <w:pStyle w:val="a3"/>
        <w:numPr>
          <w:ilvl w:val="0"/>
          <w:numId w:val="14"/>
        </w:numPr>
        <w:spacing w:after="0"/>
        <w:ind w:left="424" w:hanging="425"/>
        <w:jc w:val="lowKashida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  <w:r w:rsidRPr="00FD523F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>نتائج الفرضية الثانية:</w:t>
      </w:r>
    </w:p>
    <w:p w:rsidR="001F036D" w:rsidRPr="00C0426E" w:rsidRDefault="00420807" w:rsidP="003E6621">
      <w:pPr>
        <w:spacing w:after="160"/>
        <w:jc w:val="lowKashida"/>
        <w:rPr>
          <w:rFonts w:ascii="Simplified Arabic" w:eastAsiaTheme="minorEastAsia" w:hAnsi="Simplified Arabic" w:cs="Simplified Arabic"/>
          <w:sz w:val="28"/>
          <w:szCs w:val="28"/>
          <w:rtl/>
        </w:rPr>
      </w:pPr>
      <w:r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Theme="minorEastAsia" w:hAnsi="Simplified Arabic" w:cs="Simplified Arabic" w:hint="cs"/>
          <w:sz w:val="28"/>
          <w:szCs w:val="28"/>
          <w:rtl/>
        </w:rPr>
        <w:t xml:space="preserve">     </w:t>
      </w:r>
      <w:r w:rsidR="001F036D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لا توجد ف</w:t>
      </w:r>
      <w:r w:rsidR="00AA7352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روق ذات دلالة إحصائية عند مستوى</w:t>
      </w:r>
      <w:r w:rsidR="001F036D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(0,05) بين متوسط درجات تلاميذ المجموعة التجريبية ا</w:t>
      </w:r>
      <w:r w:rsidR="009E379A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ل</w:t>
      </w:r>
      <w:r w:rsidR="001F036D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ذين </w:t>
      </w:r>
      <w:r w:rsidR="009E379A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يدرسون</w:t>
      </w:r>
      <w:r w:rsidR="003E6621">
        <w:rPr>
          <w:rFonts w:ascii="Simplified Arabic" w:eastAsiaTheme="minorEastAsia" w:hAnsi="Simplified Arabic" w:cs="Simplified Arabic" w:hint="cs"/>
          <w:sz w:val="28"/>
          <w:szCs w:val="28"/>
          <w:rtl/>
        </w:rPr>
        <w:t xml:space="preserve"> </w:t>
      </w:r>
      <w:r w:rsidR="00F82AE0">
        <w:rPr>
          <w:rFonts w:ascii="Simplified Arabic" w:eastAsiaTheme="minorEastAsia" w:hAnsi="Simplified Arabic" w:cs="Simplified Arabic" w:hint="cs"/>
          <w:sz w:val="28"/>
          <w:szCs w:val="28"/>
          <w:rtl/>
        </w:rPr>
        <w:t>قواعد الل</w:t>
      </w:r>
      <w:r w:rsidR="003E6621">
        <w:rPr>
          <w:rFonts w:ascii="Simplified Arabic" w:eastAsiaTheme="minorEastAsia" w:hAnsi="Simplified Arabic" w:cs="Simplified Arabic" w:hint="cs"/>
          <w:sz w:val="28"/>
          <w:szCs w:val="28"/>
          <w:rtl/>
        </w:rPr>
        <w:t>غة العربية</w:t>
      </w:r>
      <w:r w:rsidR="009E379A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 </w:t>
      </w:r>
      <w:r w:rsidR="001F036D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على وفق </w:t>
      </w:r>
      <w:proofErr w:type="spellStart"/>
      <w:r w:rsidR="00F26685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إ</w:t>
      </w:r>
      <w:r w:rsidR="001F036D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ستراتيجية</w:t>
      </w:r>
      <w:proofErr w:type="spellEnd"/>
      <w:r w:rsidR="00AA7352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 دورة التعلم السباعية</w:t>
      </w:r>
      <w:r w:rsidR="003E6621">
        <w:rPr>
          <w:rFonts w:ascii="Simplified Arabic" w:eastAsiaTheme="minorEastAsia" w:hAnsi="Simplified Arabic" w:cs="Simplified Arabic" w:hint="cs"/>
          <w:sz w:val="28"/>
          <w:szCs w:val="28"/>
          <w:rtl/>
        </w:rPr>
        <w:t>-</w:t>
      </w:r>
      <w:r w:rsidR="001F036D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 و</w:t>
      </w:r>
      <w:r w:rsidR="003E6621">
        <w:rPr>
          <w:rFonts w:ascii="Simplified Arabic" w:eastAsiaTheme="minorEastAsia" w:hAnsi="Simplified Arabic" w:cs="Simplified Arabic" w:hint="cs"/>
          <w:sz w:val="28"/>
          <w:szCs w:val="28"/>
          <w:rtl/>
        </w:rPr>
        <w:t xml:space="preserve">بين </w:t>
      </w:r>
      <w:r w:rsidR="001F036D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متوسط درجات تلاميذ المجموعة الضابطة الذين </w:t>
      </w:r>
      <w:r w:rsidR="009E379A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يدرسون</w:t>
      </w:r>
      <w:r w:rsidR="003E6621">
        <w:rPr>
          <w:rFonts w:ascii="Simplified Arabic" w:eastAsiaTheme="minorEastAsia" w:hAnsi="Simplified Arabic" w:cs="Simplified Arabic" w:hint="cs"/>
          <w:sz w:val="28"/>
          <w:szCs w:val="28"/>
          <w:rtl/>
        </w:rPr>
        <w:t xml:space="preserve"> قواعد اللغة العربية</w:t>
      </w:r>
      <w:r w:rsidR="009E379A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 على وفق </w:t>
      </w:r>
      <w:r w:rsidR="001F036D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الطريقة </w:t>
      </w:r>
      <w:proofErr w:type="spellStart"/>
      <w:r w:rsidR="001F036D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ال</w:t>
      </w:r>
      <w:r w:rsidR="001D2B93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أ</w:t>
      </w:r>
      <w:r w:rsidR="001F036D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ستقرائية</w:t>
      </w:r>
      <w:proofErr w:type="spellEnd"/>
      <w:r w:rsidR="001F036D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 في </w:t>
      </w:r>
      <w:r w:rsidR="007A7D9E">
        <w:rPr>
          <w:rFonts w:ascii="Simplified Arabic" w:eastAsiaTheme="minorEastAsia" w:hAnsi="Simplified Arabic" w:cs="Simplified Arabic" w:hint="cs"/>
          <w:sz w:val="28"/>
          <w:szCs w:val="28"/>
          <w:rtl/>
        </w:rPr>
        <w:t>ا</w:t>
      </w:r>
      <w:r w:rsidR="001F036D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ختبار </w:t>
      </w:r>
      <w:r w:rsidR="00AA7352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عمليات العلم,</w:t>
      </w:r>
      <w:r w:rsidR="00F50B28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 </w:t>
      </w:r>
      <w:r w:rsidR="001F036D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ولأجل التحقق من صحة الفرضية </w:t>
      </w:r>
      <w:r w:rsidR="001D2B93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أ</w:t>
      </w:r>
      <w:r w:rsidR="001F036D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ستخرج الباحث المتوسط الحسابي والانحراف المعياري لدرجات </w:t>
      </w:r>
      <w:r w:rsidR="007A7D9E">
        <w:rPr>
          <w:rFonts w:ascii="Simplified Arabic" w:eastAsiaTheme="minorEastAsia" w:hAnsi="Simplified Arabic" w:cs="Simplified Arabic" w:hint="cs"/>
          <w:sz w:val="28"/>
          <w:szCs w:val="28"/>
          <w:rtl/>
        </w:rPr>
        <w:t>ال</w:t>
      </w:r>
      <w:r w:rsidR="001F036D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تلاميذ في ال</w:t>
      </w:r>
      <w:r w:rsidR="00AA7352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مجموعتين</w:t>
      </w:r>
      <w:r w:rsidR="001F036D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(التجريبية</w:t>
      </w:r>
      <w:r w:rsidR="003E6621">
        <w:rPr>
          <w:rFonts w:ascii="Simplified Arabic" w:eastAsiaTheme="minorEastAsia" w:hAnsi="Simplified Arabic" w:cs="Simplified Arabic" w:hint="cs"/>
          <w:sz w:val="28"/>
          <w:szCs w:val="28"/>
          <w:rtl/>
        </w:rPr>
        <w:t xml:space="preserve"> والضابطة</w:t>
      </w:r>
      <w:r w:rsidR="001F036D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) في </w:t>
      </w:r>
      <w:r w:rsidR="007A7D9E">
        <w:rPr>
          <w:rFonts w:ascii="Simplified Arabic" w:eastAsiaTheme="minorEastAsia" w:hAnsi="Simplified Arabic" w:cs="Simplified Arabic" w:hint="cs"/>
          <w:sz w:val="28"/>
          <w:szCs w:val="28"/>
          <w:rtl/>
        </w:rPr>
        <w:t>ا</w:t>
      </w:r>
      <w:r w:rsidR="003E6621">
        <w:rPr>
          <w:rFonts w:ascii="Simplified Arabic" w:eastAsiaTheme="minorEastAsia" w:hAnsi="Simplified Arabic" w:cs="Simplified Arabic"/>
          <w:sz w:val="28"/>
          <w:szCs w:val="28"/>
          <w:rtl/>
        </w:rPr>
        <w:t>ختبار</w:t>
      </w:r>
      <w:r w:rsidR="003E6621">
        <w:rPr>
          <w:rFonts w:ascii="Simplified Arabic" w:eastAsiaTheme="minorEastAsia" w:hAnsi="Simplified Arabic" w:cs="Simplified Arabic" w:hint="cs"/>
          <w:sz w:val="28"/>
          <w:szCs w:val="28"/>
          <w:rtl/>
        </w:rPr>
        <w:t xml:space="preserve"> </w:t>
      </w:r>
      <w:r w:rsidR="00AA7352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عمليات العلم</w:t>
      </w:r>
      <w:r w:rsidR="009424E1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.</w:t>
      </w:r>
    </w:p>
    <w:p w:rsidR="00027C42" w:rsidRPr="00C0426E" w:rsidRDefault="00027C42" w:rsidP="00C0426E">
      <w:pPr>
        <w:spacing w:after="160"/>
        <w:jc w:val="lowKashida"/>
        <w:rPr>
          <w:rFonts w:ascii="Simplified Arabic" w:eastAsiaTheme="minorEastAsia" w:hAnsi="Simplified Arabic" w:cs="Simplified Arabic"/>
          <w:sz w:val="28"/>
          <w:szCs w:val="28"/>
          <w:rtl/>
        </w:rPr>
      </w:pPr>
    </w:p>
    <w:p w:rsidR="00111FC1" w:rsidRPr="00C0426E" w:rsidRDefault="00432891" w:rsidP="00C0426E">
      <w:pPr>
        <w:spacing w:after="160"/>
        <w:jc w:val="lowKashida"/>
        <w:rPr>
          <w:rFonts w:ascii="Simplified Arabic" w:eastAsiaTheme="minorEastAsia" w:hAnsi="Simplified Arabic" w:cs="Simplified Arabic"/>
          <w:sz w:val="28"/>
          <w:szCs w:val="28"/>
          <w:rtl/>
        </w:rPr>
      </w:pPr>
      <w:r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                                        </w:t>
      </w:r>
    </w:p>
    <w:p w:rsidR="005F0D63" w:rsidRDefault="005F0D63" w:rsidP="003A0974">
      <w:pPr>
        <w:spacing w:after="160"/>
        <w:jc w:val="center"/>
        <w:rPr>
          <w:rFonts w:ascii="Simplified Arabic" w:eastAsiaTheme="minorEastAsia" w:hAnsi="Simplified Arabic" w:cs="Simplified Arabic"/>
          <w:b/>
          <w:bCs/>
          <w:sz w:val="28"/>
          <w:szCs w:val="28"/>
          <w:rtl/>
        </w:rPr>
      </w:pPr>
    </w:p>
    <w:p w:rsidR="001F036D" w:rsidRPr="00D22A3E" w:rsidRDefault="00432891" w:rsidP="00140E17">
      <w:pPr>
        <w:spacing w:after="160"/>
        <w:jc w:val="center"/>
        <w:rPr>
          <w:rFonts w:ascii="Simplified Arabic" w:eastAsiaTheme="minorEastAsia" w:hAnsi="Simplified Arabic" w:cs="Simplified Arabic"/>
          <w:b/>
          <w:bCs/>
          <w:sz w:val="28"/>
          <w:szCs w:val="28"/>
          <w:rtl/>
        </w:rPr>
      </w:pPr>
      <w:r w:rsidRPr="00D22A3E">
        <w:rPr>
          <w:rFonts w:ascii="Simplified Arabic" w:eastAsiaTheme="minorEastAsia" w:hAnsi="Simplified Arabic" w:cs="Simplified Arabic"/>
          <w:b/>
          <w:bCs/>
          <w:sz w:val="28"/>
          <w:szCs w:val="28"/>
          <w:rtl/>
        </w:rPr>
        <w:lastRenderedPageBreak/>
        <w:t>جدول</w:t>
      </w:r>
      <w:r w:rsidR="001F036D" w:rsidRPr="00D22A3E">
        <w:rPr>
          <w:rFonts w:ascii="Simplified Arabic" w:eastAsiaTheme="minorEastAsia" w:hAnsi="Simplified Arabic" w:cs="Simplified Arabic"/>
          <w:b/>
          <w:bCs/>
          <w:sz w:val="28"/>
          <w:szCs w:val="28"/>
          <w:rtl/>
        </w:rPr>
        <w:t>(</w:t>
      </w:r>
      <w:r w:rsidR="009424E1" w:rsidRPr="00D22A3E">
        <w:rPr>
          <w:rFonts w:ascii="Simplified Arabic" w:eastAsiaTheme="minorEastAsia" w:hAnsi="Simplified Arabic" w:cs="Simplified Arabic"/>
          <w:b/>
          <w:bCs/>
          <w:sz w:val="28"/>
          <w:szCs w:val="28"/>
          <w:rtl/>
        </w:rPr>
        <w:t>1</w:t>
      </w:r>
      <w:r w:rsidR="00140E17">
        <w:rPr>
          <w:rFonts w:ascii="Simplified Arabic" w:eastAsiaTheme="minorEastAsia" w:hAnsi="Simplified Arabic" w:cs="Simplified Arabic" w:hint="cs"/>
          <w:b/>
          <w:bCs/>
          <w:sz w:val="28"/>
          <w:szCs w:val="28"/>
          <w:rtl/>
        </w:rPr>
        <w:t>2</w:t>
      </w:r>
      <w:r w:rsidR="001F036D" w:rsidRPr="00D22A3E">
        <w:rPr>
          <w:rFonts w:ascii="Simplified Arabic" w:eastAsiaTheme="minorEastAsia" w:hAnsi="Simplified Arabic" w:cs="Simplified Arabic"/>
          <w:b/>
          <w:bCs/>
          <w:sz w:val="28"/>
          <w:szCs w:val="28"/>
          <w:rtl/>
        </w:rPr>
        <w:t>)</w:t>
      </w:r>
    </w:p>
    <w:tbl>
      <w:tblPr>
        <w:tblStyle w:val="4"/>
        <w:tblpPr w:leftFromText="180" w:rightFromText="180" w:vertAnchor="text" w:horzAnchor="margin" w:tblpY="752"/>
        <w:bidiVisual/>
        <w:tblW w:w="9000" w:type="dxa"/>
        <w:tblInd w:w="-869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723"/>
        <w:gridCol w:w="1046"/>
        <w:gridCol w:w="1189"/>
        <w:gridCol w:w="792"/>
        <w:gridCol w:w="1131"/>
        <w:gridCol w:w="980"/>
        <w:gridCol w:w="1555"/>
      </w:tblGrid>
      <w:tr w:rsidR="00DB6EDC" w:rsidRPr="00C0426E" w:rsidTr="003A0974">
        <w:trPr>
          <w:trHeight w:val="778"/>
        </w:trPr>
        <w:tc>
          <w:tcPr>
            <w:tcW w:w="158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DB6EDC" w:rsidRPr="00C0426E" w:rsidRDefault="00DB6EDC" w:rsidP="00DA2483">
            <w:pPr>
              <w:keepNext/>
              <w:keepLines/>
              <w:spacing w:after="160" w:line="276" w:lineRule="auto"/>
              <w:ind w:left="113" w:right="113"/>
              <w:jc w:val="lowKashida"/>
              <w:outlineLvl w:val="7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 w:rsidRPr="00C0426E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المجموعة</w:t>
            </w:r>
          </w:p>
        </w:tc>
        <w:tc>
          <w:tcPr>
            <w:tcW w:w="723" w:type="dxa"/>
            <w:vMerge w:val="restart"/>
            <w:shd w:val="clear" w:color="auto" w:fill="D9D9D9" w:themeFill="background1" w:themeFillShade="D9"/>
            <w:vAlign w:val="center"/>
          </w:tcPr>
          <w:p w:rsidR="00DB6EDC" w:rsidRPr="00C0426E" w:rsidRDefault="00DB6EDC" w:rsidP="00DA2483">
            <w:pPr>
              <w:spacing w:after="160" w:line="276" w:lineRule="auto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0426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عدد العينة</w:t>
            </w:r>
          </w:p>
        </w:tc>
        <w:tc>
          <w:tcPr>
            <w:tcW w:w="1046" w:type="dxa"/>
            <w:vMerge w:val="restart"/>
            <w:shd w:val="clear" w:color="auto" w:fill="D9D9D9" w:themeFill="background1" w:themeFillShade="D9"/>
            <w:vAlign w:val="center"/>
          </w:tcPr>
          <w:p w:rsidR="00DB6EDC" w:rsidRPr="00C0426E" w:rsidRDefault="00DB6EDC" w:rsidP="00DA2483">
            <w:pPr>
              <w:spacing w:after="160" w:line="276" w:lineRule="auto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0426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المتوسط الحسابي</w:t>
            </w:r>
          </w:p>
        </w:tc>
        <w:tc>
          <w:tcPr>
            <w:tcW w:w="1189" w:type="dxa"/>
            <w:vMerge w:val="restart"/>
            <w:shd w:val="clear" w:color="auto" w:fill="D9D9D9" w:themeFill="background1" w:themeFillShade="D9"/>
          </w:tcPr>
          <w:p w:rsidR="00DB6EDC" w:rsidRPr="00C0426E" w:rsidRDefault="00DB6EDC" w:rsidP="00DA2483">
            <w:pPr>
              <w:spacing w:after="160" w:line="276" w:lineRule="auto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C0426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التباين </w:t>
            </w:r>
          </w:p>
        </w:tc>
        <w:tc>
          <w:tcPr>
            <w:tcW w:w="792" w:type="dxa"/>
            <w:vMerge w:val="restart"/>
            <w:shd w:val="clear" w:color="auto" w:fill="D9D9D9" w:themeFill="background1" w:themeFillShade="D9"/>
            <w:vAlign w:val="center"/>
          </w:tcPr>
          <w:p w:rsidR="00DB6EDC" w:rsidRPr="00C0426E" w:rsidRDefault="00DB6EDC" w:rsidP="00DA2483">
            <w:pPr>
              <w:spacing w:after="160" w:line="276" w:lineRule="auto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0426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درجة الحرية</w:t>
            </w:r>
          </w:p>
        </w:tc>
        <w:tc>
          <w:tcPr>
            <w:tcW w:w="2111" w:type="dxa"/>
            <w:gridSpan w:val="2"/>
            <w:shd w:val="clear" w:color="auto" w:fill="D9D9D9" w:themeFill="background1" w:themeFillShade="D9"/>
            <w:vAlign w:val="center"/>
          </w:tcPr>
          <w:p w:rsidR="00DB6EDC" w:rsidRPr="00C0426E" w:rsidRDefault="00DB6EDC" w:rsidP="00DA2483">
            <w:pPr>
              <w:spacing w:after="160" w:line="276" w:lineRule="auto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 </w:t>
            </w:r>
            <w:r w:rsidRPr="00C0426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القيمة </w:t>
            </w:r>
            <w:proofErr w:type="spellStart"/>
            <w:r w:rsidRPr="00C0426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التائية</w:t>
            </w:r>
            <w:proofErr w:type="spellEnd"/>
          </w:p>
        </w:tc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:rsidR="00DB6EDC" w:rsidRPr="00C0426E" w:rsidRDefault="00DB6EDC" w:rsidP="00DA2483">
            <w:pPr>
              <w:spacing w:after="160" w:line="276" w:lineRule="auto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Y"/>
              </w:rPr>
            </w:pPr>
            <w:r w:rsidRPr="00C0426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Y"/>
              </w:rPr>
              <w:t>مستوى الدلالة(0.05)</w:t>
            </w:r>
          </w:p>
        </w:tc>
      </w:tr>
      <w:tr w:rsidR="00DB6EDC" w:rsidRPr="00C0426E" w:rsidTr="003A0974">
        <w:trPr>
          <w:trHeight w:val="178"/>
        </w:trPr>
        <w:tc>
          <w:tcPr>
            <w:tcW w:w="1584" w:type="dxa"/>
            <w:vMerge/>
            <w:textDirection w:val="btLr"/>
            <w:vAlign w:val="center"/>
          </w:tcPr>
          <w:p w:rsidR="00DB6EDC" w:rsidRPr="00C0426E" w:rsidRDefault="00DB6EDC" w:rsidP="00DA2483">
            <w:pPr>
              <w:spacing w:after="160" w:line="276" w:lineRule="auto"/>
              <w:ind w:left="113" w:right="113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3" w:type="dxa"/>
            <w:vMerge/>
            <w:vAlign w:val="center"/>
          </w:tcPr>
          <w:p w:rsidR="00DB6EDC" w:rsidRPr="00C0426E" w:rsidRDefault="00DB6EDC" w:rsidP="00DA2483">
            <w:pPr>
              <w:spacing w:after="160" w:line="276" w:lineRule="auto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46" w:type="dxa"/>
            <w:vMerge/>
            <w:shd w:val="clear" w:color="auto" w:fill="BFBFBF" w:themeFill="background1" w:themeFillShade="BF"/>
            <w:vAlign w:val="center"/>
          </w:tcPr>
          <w:p w:rsidR="00DB6EDC" w:rsidRPr="00C0426E" w:rsidRDefault="00DB6EDC" w:rsidP="00DA2483">
            <w:pPr>
              <w:spacing w:after="160" w:line="276" w:lineRule="auto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89" w:type="dxa"/>
            <w:vMerge/>
          </w:tcPr>
          <w:p w:rsidR="00DB6EDC" w:rsidRPr="00C0426E" w:rsidRDefault="00DB6EDC" w:rsidP="00DA2483">
            <w:pPr>
              <w:spacing w:after="160" w:line="276" w:lineRule="auto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2" w:type="dxa"/>
            <w:vMerge/>
            <w:vAlign w:val="center"/>
          </w:tcPr>
          <w:p w:rsidR="00DB6EDC" w:rsidRPr="00C0426E" w:rsidRDefault="00DB6EDC" w:rsidP="00DA2483">
            <w:pPr>
              <w:spacing w:after="160" w:line="276" w:lineRule="auto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1" w:type="dxa"/>
            <w:shd w:val="clear" w:color="auto" w:fill="E5B8B7" w:themeFill="accent2" w:themeFillTint="66"/>
            <w:vAlign w:val="center"/>
          </w:tcPr>
          <w:p w:rsidR="00DB6EDC" w:rsidRPr="00C0426E" w:rsidRDefault="00DB6EDC" w:rsidP="00DA2483">
            <w:pPr>
              <w:spacing w:after="160" w:line="276" w:lineRule="auto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Y"/>
              </w:rPr>
            </w:pPr>
            <w:r w:rsidRPr="00C0426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Y"/>
              </w:rPr>
              <w:t>المحسوبة</w:t>
            </w:r>
          </w:p>
        </w:tc>
        <w:tc>
          <w:tcPr>
            <w:tcW w:w="980" w:type="dxa"/>
            <w:shd w:val="clear" w:color="auto" w:fill="E5B8B7" w:themeFill="accent2" w:themeFillTint="66"/>
            <w:vAlign w:val="center"/>
          </w:tcPr>
          <w:p w:rsidR="00DB6EDC" w:rsidRPr="00C0426E" w:rsidRDefault="00DB6EDC" w:rsidP="00DA2483">
            <w:pPr>
              <w:spacing w:after="160" w:line="276" w:lineRule="auto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Y"/>
              </w:rPr>
            </w:pPr>
            <w:r w:rsidRPr="00C0426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Y"/>
              </w:rPr>
              <w:t>الجدولية</w:t>
            </w:r>
          </w:p>
        </w:tc>
        <w:tc>
          <w:tcPr>
            <w:tcW w:w="1555" w:type="dxa"/>
            <w:vMerge/>
            <w:shd w:val="clear" w:color="auto" w:fill="BFBFBF" w:themeFill="background1" w:themeFillShade="BF"/>
            <w:vAlign w:val="center"/>
          </w:tcPr>
          <w:p w:rsidR="00DB6EDC" w:rsidRPr="00C0426E" w:rsidRDefault="00DB6EDC" w:rsidP="00DA2483">
            <w:pPr>
              <w:spacing w:after="160" w:line="276" w:lineRule="auto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DB6EDC" w:rsidRPr="00C0426E" w:rsidTr="003A0974">
        <w:trPr>
          <w:cantSplit/>
          <w:trHeight w:val="1134"/>
        </w:trPr>
        <w:tc>
          <w:tcPr>
            <w:tcW w:w="1584" w:type="dxa"/>
            <w:shd w:val="clear" w:color="auto" w:fill="E5B8B7" w:themeFill="accent2" w:themeFillTint="66"/>
            <w:textDirection w:val="btLr"/>
            <w:vAlign w:val="center"/>
          </w:tcPr>
          <w:p w:rsidR="00DB6EDC" w:rsidRPr="00C0426E" w:rsidRDefault="00DB6EDC" w:rsidP="00DA2483">
            <w:pPr>
              <w:spacing w:after="160" w:line="276" w:lineRule="auto"/>
              <w:ind w:left="113" w:right="113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0426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التجريبية</w:t>
            </w:r>
          </w:p>
        </w:tc>
        <w:tc>
          <w:tcPr>
            <w:tcW w:w="723" w:type="dxa"/>
            <w:vAlign w:val="center"/>
          </w:tcPr>
          <w:p w:rsidR="00DB6EDC" w:rsidRPr="00C0426E" w:rsidRDefault="00DB6EDC" w:rsidP="00DA2483">
            <w:pPr>
              <w:spacing w:after="160" w:line="276" w:lineRule="auto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0426E">
              <w:rPr>
                <w:rFonts w:ascii="Simplified Arabic" w:hAnsi="Simplified Arabic" w:cs="Simplified Arabic"/>
                <w:sz w:val="28"/>
                <w:szCs w:val="28"/>
                <w:rtl/>
              </w:rPr>
              <w:t>30</w:t>
            </w:r>
          </w:p>
        </w:tc>
        <w:tc>
          <w:tcPr>
            <w:tcW w:w="1046" w:type="dxa"/>
            <w:vAlign w:val="center"/>
          </w:tcPr>
          <w:p w:rsidR="00DB6EDC" w:rsidRPr="00C0426E" w:rsidRDefault="00DB6EDC" w:rsidP="00DA2483">
            <w:pPr>
              <w:spacing w:after="160" w:line="276" w:lineRule="auto"/>
              <w:jc w:val="lowKashida"/>
              <w:rPr>
                <w:rFonts w:ascii="Simplified Arabic" w:eastAsiaTheme="minorEastAsia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 w:rsidRPr="00C0426E">
              <w:rPr>
                <w:rFonts w:ascii="Simplified Arabic" w:eastAsiaTheme="minorEastAsia" w:hAnsi="Simplified Arabic" w:cs="Simplified Arabic"/>
                <w:color w:val="000000"/>
                <w:sz w:val="28"/>
                <w:szCs w:val="28"/>
                <w:rtl/>
                <w:lang w:bidi="ar-IQ"/>
              </w:rPr>
              <w:t>78.200</w:t>
            </w:r>
          </w:p>
        </w:tc>
        <w:tc>
          <w:tcPr>
            <w:tcW w:w="1189" w:type="dxa"/>
          </w:tcPr>
          <w:p w:rsidR="00DB6EDC" w:rsidRPr="00C0426E" w:rsidRDefault="00DB6EDC" w:rsidP="00DA2483">
            <w:pPr>
              <w:spacing w:after="160" w:line="276" w:lineRule="auto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0426E">
              <w:rPr>
                <w:rFonts w:ascii="Simplified Arabic" w:hAnsi="Simplified Arabic" w:cs="Simplified Arabic"/>
                <w:sz w:val="28"/>
                <w:szCs w:val="28"/>
                <w:rtl/>
              </w:rPr>
              <w:t>123.683</w:t>
            </w:r>
          </w:p>
        </w:tc>
        <w:tc>
          <w:tcPr>
            <w:tcW w:w="792" w:type="dxa"/>
            <w:vMerge w:val="restart"/>
            <w:vAlign w:val="center"/>
          </w:tcPr>
          <w:p w:rsidR="00DB6EDC" w:rsidRPr="00C0426E" w:rsidRDefault="00DB6EDC" w:rsidP="00DA2483">
            <w:pPr>
              <w:spacing w:after="160" w:line="276" w:lineRule="auto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0426E">
              <w:rPr>
                <w:rFonts w:ascii="Simplified Arabic" w:hAnsi="Simplified Arabic" w:cs="Simplified Arabic"/>
                <w:sz w:val="28"/>
                <w:szCs w:val="28"/>
                <w:rtl/>
              </w:rPr>
              <w:t>58</w:t>
            </w:r>
          </w:p>
        </w:tc>
        <w:tc>
          <w:tcPr>
            <w:tcW w:w="1131" w:type="dxa"/>
            <w:vMerge w:val="restart"/>
            <w:vAlign w:val="center"/>
          </w:tcPr>
          <w:p w:rsidR="00DB6EDC" w:rsidRPr="00C0426E" w:rsidRDefault="00DB6EDC" w:rsidP="00DA2483">
            <w:pPr>
              <w:spacing w:after="160" w:line="276" w:lineRule="auto"/>
              <w:jc w:val="lowKashida"/>
              <w:rPr>
                <w:rFonts w:ascii="Simplified Arabic" w:eastAsiaTheme="minorEastAsia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 w:rsidRPr="00C0426E">
              <w:rPr>
                <w:rFonts w:ascii="Simplified Arabic" w:eastAsiaTheme="minorEastAsia" w:hAnsi="Simplified Arabic" w:cs="Simplified Arabic"/>
                <w:color w:val="000000"/>
                <w:sz w:val="28"/>
                <w:szCs w:val="28"/>
                <w:rtl/>
                <w:lang w:bidi="ar-IQ"/>
              </w:rPr>
              <w:t xml:space="preserve">  4.723</w:t>
            </w:r>
          </w:p>
        </w:tc>
        <w:tc>
          <w:tcPr>
            <w:tcW w:w="980" w:type="dxa"/>
            <w:vMerge w:val="restart"/>
            <w:vAlign w:val="center"/>
          </w:tcPr>
          <w:p w:rsidR="00DB6EDC" w:rsidRPr="00C0426E" w:rsidRDefault="00DB6EDC" w:rsidP="00DA2483">
            <w:pPr>
              <w:spacing w:after="160" w:line="276" w:lineRule="auto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0426E">
              <w:rPr>
                <w:rFonts w:ascii="Simplified Arabic" w:hAnsi="Simplified Arabic" w:cs="Simplified Arabic"/>
                <w:sz w:val="28"/>
                <w:szCs w:val="28"/>
                <w:rtl/>
              </w:rPr>
              <w:t>2.000</w:t>
            </w:r>
          </w:p>
        </w:tc>
        <w:tc>
          <w:tcPr>
            <w:tcW w:w="1555" w:type="dxa"/>
            <w:vMerge w:val="restart"/>
            <w:vAlign w:val="center"/>
          </w:tcPr>
          <w:p w:rsidR="00DB6EDC" w:rsidRPr="00C0426E" w:rsidRDefault="00DB6EDC" w:rsidP="005B2015">
            <w:pPr>
              <w:spacing w:after="160" w:line="276" w:lineRule="auto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0426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دالة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</w:t>
            </w:r>
            <w:r w:rsidRPr="00C0426E">
              <w:rPr>
                <w:rFonts w:ascii="Simplified Arabic" w:hAnsi="Simplified Arabic" w:cs="Simplified Arabic"/>
                <w:sz w:val="28"/>
                <w:szCs w:val="28"/>
                <w:rtl/>
              </w:rPr>
              <w:t>حصائياً</w:t>
            </w:r>
          </w:p>
        </w:tc>
      </w:tr>
      <w:tr w:rsidR="00DB6EDC" w:rsidRPr="00C0426E" w:rsidTr="003A0974">
        <w:trPr>
          <w:cantSplit/>
          <w:trHeight w:val="1134"/>
        </w:trPr>
        <w:tc>
          <w:tcPr>
            <w:tcW w:w="1584" w:type="dxa"/>
            <w:shd w:val="clear" w:color="auto" w:fill="E5B8B7" w:themeFill="accent2" w:themeFillTint="66"/>
            <w:textDirection w:val="btLr"/>
            <w:vAlign w:val="center"/>
          </w:tcPr>
          <w:p w:rsidR="00DB6EDC" w:rsidRPr="00C0426E" w:rsidRDefault="00DB6EDC" w:rsidP="00DA2483">
            <w:pPr>
              <w:spacing w:after="160" w:line="276" w:lineRule="auto"/>
              <w:ind w:left="113" w:right="113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0426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الضابطة</w:t>
            </w:r>
          </w:p>
        </w:tc>
        <w:tc>
          <w:tcPr>
            <w:tcW w:w="723" w:type="dxa"/>
            <w:vAlign w:val="center"/>
          </w:tcPr>
          <w:p w:rsidR="00DB6EDC" w:rsidRPr="00C0426E" w:rsidRDefault="00DB6EDC" w:rsidP="00DA2483">
            <w:pPr>
              <w:spacing w:after="160" w:line="276" w:lineRule="auto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0426E">
              <w:rPr>
                <w:rFonts w:ascii="Simplified Arabic" w:hAnsi="Simplified Arabic" w:cs="Simplified Arabic"/>
                <w:sz w:val="28"/>
                <w:szCs w:val="28"/>
                <w:rtl/>
              </w:rPr>
              <w:t>30</w:t>
            </w:r>
          </w:p>
        </w:tc>
        <w:tc>
          <w:tcPr>
            <w:tcW w:w="1046" w:type="dxa"/>
            <w:vAlign w:val="center"/>
          </w:tcPr>
          <w:p w:rsidR="00DB6EDC" w:rsidRPr="00C0426E" w:rsidRDefault="00DB6EDC" w:rsidP="00DA2483">
            <w:pPr>
              <w:spacing w:after="160" w:line="276" w:lineRule="auto"/>
              <w:jc w:val="lowKashida"/>
              <w:rPr>
                <w:rFonts w:ascii="Simplified Arabic" w:eastAsiaTheme="minorEastAsia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 w:rsidRPr="00C0426E">
              <w:rPr>
                <w:rFonts w:ascii="Simplified Arabic" w:eastAsiaTheme="minorEastAsia" w:hAnsi="Simplified Arabic" w:cs="Simplified Arabic"/>
                <w:color w:val="000000"/>
                <w:sz w:val="28"/>
                <w:szCs w:val="28"/>
                <w:rtl/>
                <w:lang w:bidi="ar-IQ"/>
              </w:rPr>
              <w:t>60.267</w:t>
            </w:r>
          </w:p>
        </w:tc>
        <w:tc>
          <w:tcPr>
            <w:tcW w:w="1189" w:type="dxa"/>
          </w:tcPr>
          <w:p w:rsidR="00DB6EDC" w:rsidRPr="00C0426E" w:rsidRDefault="00DB6EDC" w:rsidP="00DA2483">
            <w:pPr>
              <w:spacing w:after="160" w:line="276" w:lineRule="auto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0426E">
              <w:rPr>
                <w:rFonts w:ascii="Simplified Arabic" w:hAnsi="Simplified Arabic" w:cs="Simplified Arabic"/>
                <w:sz w:val="28"/>
                <w:szCs w:val="28"/>
                <w:rtl/>
              </w:rPr>
              <w:t>308.892</w:t>
            </w:r>
          </w:p>
        </w:tc>
        <w:tc>
          <w:tcPr>
            <w:tcW w:w="792" w:type="dxa"/>
            <w:vMerge/>
            <w:vAlign w:val="center"/>
          </w:tcPr>
          <w:p w:rsidR="00DB6EDC" w:rsidRPr="00C0426E" w:rsidRDefault="00DB6EDC" w:rsidP="00DA2483">
            <w:pPr>
              <w:spacing w:after="160" w:line="276" w:lineRule="auto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31" w:type="dxa"/>
            <w:vMerge/>
            <w:vAlign w:val="center"/>
          </w:tcPr>
          <w:p w:rsidR="00DB6EDC" w:rsidRPr="00C0426E" w:rsidRDefault="00DB6EDC" w:rsidP="00DA2483">
            <w:pPr>
              <w:spacing w:after="160" w:line="276" w:lineRule="auto"/>
              <w:jc w:val="lowKashida"/>
              <w:rPr>
                <w:rFonts w:ascii="Simplified Arabic" w:eastAsiaTheme="minorEastAsia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980" w:type="dxa"/>
            <w:vMerge/>
            <w:vAlign w:val="center"/>
          </w:tcPr>
          <w:p w:rsidR="00DB6EDC" w:rsidRPr="00C0426E" w:rsidRDefault="00DB6EDC" w:rsidP="00DA2483">
            <w:pPr>
              <w:spacing w:after="160" w:line="276" w:lineRule="auto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55" w:type="dxa"/>
            <w:vMerge/>
            <w:vAlign w:val="center"/>
          </w:tcPr>
          <w:p w:rsidR="00DB6EDC" w:rsidRPr="00C0426E" w:rsidRDefault="00DB6EDC" w:rsidP="00DA2483">
            <w:pPr>
              <w:spacing w:after="160" w:line="276" w:lineRule="auto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:rsidR="00500D80" w:rsidRDefault="001F036D" w:rsidP="003A0974">
      <w:pPr>
        <w:spacing w:after="160"/>
        <w:jc w:val="center"/>
        <w:rPr>
          <w:rFonts w:ascii="Simplified Arabic" w:eastAsiaTheme="minorEastAsia" w:hAnsi="Simplified Arabic" w:cs="Simplified Arabic"/>
          <w:b/>
          <w:bCs/>
          <w:sz w:val="28"/>
          <w:szCs w:val="28"/>
          <w:rtl/>
        </w:rPr>
      </w:pPr>
      <w:r w:rsidRPr="00C0426E">
        <w:rPr>
          <w:rFonts w:ascii="Simplified Arabic" w:eastAsiaTheme="minorEastAsia" w:hAnsi="Simplified Arabic" w:cs="Simplified Arabic"/>
          <w:b/>
          <w:bCs/>
          <w:sz w:val="28"/>
          <w:szCs w:val="28"/>
          <w:rtl/>
        </w:rPr>
        <w:t xml:space="preserve">نتائج الاختبار </w:t>
      </w:r>
      <w:proofErr w:type="spellStart"/>
      <w:r w:rsidRPr="00C0426E">
        <w:rPr>
          <w:rFonts w:ascii="Simplified Arabic" w:eastAsiaTheme="minorEastAsia" w:hAnsi="Simplified Arabic" w:cs="Simplified Arabic"/>
          <w:b/>
          <w:bCs/>
          <w:sz w:val="28"/>
          <w:szCs w:val="28"/>
          <w:rtl/>
        </w:rPr>
        <w:t>التائي</w:t>
      </w:r>
      <w:proofErr w:type="spellEnd"/>
      <w:r w:rsidRPr="00C0426E">
        <w:rPr>
          <w:rFonts w:ascii="Simplified Arabic" w:eastAsiaTheme="minorEastAsia" w:hAnsi="Simplified Arabic" w:cs="Simplified Arabic"/>
          <w:b/>
          <w:bCs/>
          <w:sz w:val="28"/>
          <w:szCs w:val="28"/>
          <w:rtl/>
        </w:rPr>
        <w:t xml:space="preserve"> لدرجات </w:t>
      </w:r>
      <w:r w:rsidR="00151880" w:rsidRPr="00C0426E">
        <w:rPr>
          <w:rFonts w:ascii="Simplified Arabic" w:eastAsiaTheme="minorEastAsia" w:hAnsi="Simplified Arabic" w:cs="Simplified Arabic"/>
          <w:b/>
          <w:bCs/>
          <w:sz w:val="28"/>
          <w:szCs w:val="28"/>
          <w:rtl/>
        </w:rPr>
        <w:t xml:space="preserve">تلاميذ </w:t>
      </w:r>
      <w:r w:rsidRPr="00C0426E">
        <w:rPr>
          <w:rFonts w:ascii="Simplified Arabic" w:eastAsiaTheme="minorEastAsia" w:hAnsi="Simplified Arabic" w:cs="Simplified Arabic"/>
          <w:b/>
          <w:bCs/>
          <w:sz w:val="28"/>
          <w:szCs w:val="28"/>
          <w:rtl/>
        </w:rPr>
        <w:t xml:space="preserve">مجموعتي البحث في </w:t>
      </w:r>
      <w:proofErr w:type="spellStart"/>
      <w:r w:rsidR="00151880" w:rsidRPr="00C0426E">
        <w:rPr>
          <w:rFonts w:ascii="Simplified Arabic" w:eastAsiaTheme="minorEastAsia" w:hAnsi="Simplified Arabic" w:cs="Simplified Arabic"/>
          <w:b/>
          <w:bCs/>
          <w:sz w:val="28"/>
          <w:szCs w:val="28"/>
          <w:rtl/>
        </w:rPr>
        <w:t>أ</w:t>
      </w:r>
      <w:r w:rsidR="00027C42" w:rsidRPr="00C0426E">
        <w:rPr>
          <w:rFonts w:ascii="Simplified Arabic" w:eastAsiaTheme="minorEastAsia" w:hAnsi="Simplified Arabic" w:cs="Simplified Arabic"/>
          <w:b/>
          <w:bCs/>
          <w:sz w:val="28"/>
          <w:szCs w:val="28"/>
          <w:rtl/>
        </w:rPr>
        <w:t>ختبا</w:t>
      </w:r>
      <w:r w:rsidR="00111FC1" w:rsidRPr="00C0426E">
        <w:rPr>
          <w:rFonts w:ascii="Simplified Arabic" w:eastAsiaTheme="minorEastAsia" w:hAnsi="Simplified Arabic" w:cs="Simplified Arabic"/>
          <w:b/>
          <w:bCs/>
          <w:sz w:val="28"/>
          <w:szCs w:val="28"/>
          <w:rtl/>
        </w:rPr>
        <w:t>ر</w:t>
      </w:r>
      <w:proofErr w:type="spellEnd"/>
      <w:r w:rsidRPr="00C0426E">
        <w:rPr>
          <w:rFonts w:ascii="Simplified Arabic" w:eastAsiaTheme="minorEastAsia" w:hAnsi="Simplified Arabic" w:cs="Simplified Arabic"/>
          <w:b/>
          <w:bCs/>
          <w:sz w:val="28"/>
          <w:szCs w:val="28"/>
          <w:rtl/>
        </w:rPr>
        <w:t xml:space="preserve"> عمليات العلم</w:t>
      </w:r>
    </w:p>
    <w:p w:rsidR="00FD523F" w:rsidRDefault="00FD523F" w:rsidP="003A0974">
      <w:pPr>
        <w:spacing w:after="160"/>
        <w:jc w:val="lowKashida"/>
        <w:rPr>
          <w:rFonts w:ascii="Simplified Arabic" w:eastAsiaTheme="minorEastAsia" w:hAnsi="Simplified Arabic" w:cs="Simplified Arabic"/>
          <w:b/>
          <w:bCs/>
          <w:sz w:val="28"/>
          <w:szCs w:val="28"/>
          <w:rtl/>
        </w:rPr>
      </w:pPr>
    </w:p>
    <w:p w:rsidR="00EC4B46" w:rsidRDefault="003E6621" w:rsidP="00B8475F">
      <w:pPr>
        <w:spacing w:after="160"/>
        <w:jc w:val="lowKashida"/>
        <w:rPr>
          <w:rFonts w:ascii="Simplified Arabic" w:eastAsiaTheme="minorEastAsia" w:hAnsi="Simplified Arabic" w:cs="Simplified Arabic"/>
          <w:sz w:val="28"/>
          <w:szCs w:val="28"/>
          <w:rtl/>
        </w:rPr>
      </w:pPr>
      <w:r>
        <w:rPr>
          <w:rFonts w:ascii="Simplified Arabic" w:eastAsiaTheme="minorEastAsia" w:hAnsi="Simplified Arabic" w:cs="Simplified Arabic" w:hint="cs"/>
          <w:sz w:val="28"/>
          <w:szCs w:val="28"/>
          <w:rtl/>
        </w:rPr>
        <w:t xml:space="preserve">نلحظ </w:t>
      </w:r>
      <w:r w:rsidR="00AA7352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من جدول</w:t>
      </w:r>
      <w:r w:rsidR="001F036D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(</w:t>
      </w:r>
      <w:r w:rsidR="00BC5133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1</w:t>
      </w:r>
      <w:r w:rsidR="003A0974">
        <w:rPr>
          <w:rFonts w:ascii="Simplified Arabic" w:eastAsiaTheme="minorEastAsia" w:hAnsi="Simplified Arabic" w:cs="Simplified Arabic" w:hint="cs"/>
          <w:sz w:val="28"/>
          <w:szCs w:val="28"/>
          <w:rtl/>
        </w:rPr>
        <w:t>2</w:t>
      </w:r>
      <w:r>
        <w:rPr>
          <w:rFonts w:ascii="Simplified Arabic" w:eastAsiaTheme="minorEastAsia" w:hAnsi="Simplified Arabic" w:cs="Simplified Arabic"/>
          <w:sz w:val="28"/>
          <w:szCs w:val="28"/>
          <w:rtl/>
        </w:rPr>
        <w:t>)</w:t>
      </w:r>
      <w:r>
        <w:rPr>
          <w:rFonts w:ascii="Simplified Arabic" w:eastAsiaTheme="minorEastAsia" w:hAnsi="Simplified Arabic" w:cs="Simplified Arabic" w:hint="cs"/>
          <w:sz w:val="28"/>
          <w:szCs w:val="28"/>
          <w:rtl/>
        </w:rPr>
        <w:t>,</w:t>
      </w:r>
      <w:r w:rsidR="001F036D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أن</w:t>
      </w:r>
      <w:r w:rsidR="001D2B93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ّ</w:t>
      </w:r>
      <w:r w:rsidR="001F036D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 متوسط درجات </w:t>
      </w:r>
      <w:r w:rsidR="00101DD3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تلاميذ </w:t>
      </w:r>
      <w:r w:rsidR="001F036D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المجموعة التجريبية الذين </w:t>
      </w:r>
      <w:r w:rsidR="009E379A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يدرسون على وفق</w:t>
      </w:r>
      <w:r w:rsidR="001F036D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 </w:t>
      </w:r>
      <w:proofErr w:type="spellStart"/>
      <w:r w:rsidR="001D2B93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إ</w:t>
      </w:r>
      <w:r w:rsidR="001F036D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ستراتيجية</w:t>
      </w:r>
      <w:proofErr w:type="spellEnd"/>
      <w:r w:rsidR="001F036D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 </w:t>
      </w:r>
      <w:r w:rsidR="00101DD3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دورة التعلم السباعية </w:t>
      </w:r>
      <w:r w:rsidR="00AA7352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بلغ</w:t>
      </w:r>
      <w:r w:rsidR="001F036D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(</w:t>
      </w:r>
      <w:r w:rsidR="007D5AA8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78.200</w:t>
      </w:r>
      <w:r w:rsidR="00F26685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) وبلغ </w:t>
      </w:r>
      <w:proofErr w:type="spellStart"/>
      <w:r w:rsidR="00F26685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ال</w:t>
      </w:r>
      <w:r w:rsidR="001D2B93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أ</w:t>
      </w:r>
      <w:r w:rsidR="00AA7352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نحراف</w:t>
      </w:r>
      <w:proofErr w:type="spellEnd"/>
      <w:r w:rsidR="00AA7352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 المعياري</w:t>
      </w:r>
      <w:r w:rsidR="00F26685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(</w:t>
      </w:r>
      <w:r w:rsidR="00BC5133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11.121</w:t>
      </w:r>
      <w:r w:rsidR="001F036D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)، </w:t>
      </w:r>
      <w:r w:rsidR="00151880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أ</w:t>
      </w:r>
      <w:r w:rsidR="001F036D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ما متوسط درجات </w:t>
      </w:r>
      <w:r w:rsidR="00101DD3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تلاميذ </w:t>
      </w:r>
      <w:r w:rsidR="001F036D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المجموعة الضابطة الذين </w:t>
      </w:r>
      <w:r w:rsidR="009E379A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يدرسون على وفق ا</w:t>
      </w:r>
      <w:r w:rsidR="001F036D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لطريقة </w:t>
      </w:r>
      <w:r w:rsidR="00101DD3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الاستقرائية </w:t>
      </w:r>
      <w:r w:rsidR="001F036D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بلغ (</w:t>
      </w:r>
      <w:r w:rsidR="007D5AA8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60.267</w:t>
      </w:r>
      <w:r w:rsidR="001F036D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) وبانحراف معياري (</w:t>
      </w:r>
      <w:r w:rsidR="00BC5133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17.575</w:t>
      </w:r>
      <w:r w:rsidR="00AA7352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)</w:t>
      </w:r>
      <w:r w:rsidR="001F036D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، ولمعرفة دلال</w:t>
      </w:r>
      <w:r w:rsidR="00101DD3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ة الفرق الإحصائي </w:t>
      </w:r>
      <w:r w:rsidR="001D2B93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أ</w:t>
      </w:r>
      <w:r w:rsidR="00101DD3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ستعمل الباحث</w:t>
      </w:r>
      <w:r w:rsidR="001F036D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 الاختبار </w:t>
      </w:r>
      <w:proofErr w:type="spellStart"/>
      <w:r w:rsidR="001F036D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التائي</w:t>
      </w:r>
      <w:proofErr w:type="spellEnd"/>
      <w:r w:rsidR="001F036D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 (</w:t>
      </w:r>
      <w:r w:rsidR="001F036D" w:rsidRPr="00C0426E">
        <w:rPr>
          <w:rFonts w:ascii="Simplified Arabic" w:eastAsiaTheme="minorEastAsia" w:hAnsi="Simplified Arabic" w:cs="Simplified Arabic"/>
          <w:sz w:val="28"/>
          <w:szCs w:val="28"/>
        </w:rPr>
        <w:t>t-test</w:t>
      </w:r>
      <w:r w:rsidR="001F036D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) لعينتين مستقلتين</w:t>
      </w:r>
      <w:r w:rsidR="00AA7352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 متساويتين</w:t>
      </w:r>
      <w:r w:rsidR="001F036D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، و</w:t>
      </w:r>
      <w:r w:rsidR="001D2B93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أ</w:t>
      </w:r>
      <w:r w:rsidR="001F036D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ن</w:t>
      </w:r>
      <w:r w:rsidR="001D2B93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ّ</w:t>
      </w:r>
      <w:r w:rsidR="001F036D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 القيمة </w:t>
      </w:r>
      <w:proofErr w:type="spellStart"/>
      <w:r w:rsidR="001F036D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التائية</w:t>
      </w:r>
      <w:proofErr w:type="spellEnd"/>
      <w:r w:rsidR="001F036D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 المحسوبة بلغت (</w:t>
      </w:r>
      <w:r w:rsidR="00BC5133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4.723</w:t>
      </w:r>
      <w:r w:rsidR="001F036D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) وهي </w:t>
      </w:r>
      <w:r w:rsidR="001D2B93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أ</w:t>
      </w:r>
      <w:r w:rsidR="00151880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كبر</w:t>
      </w:r>
      <w:r w:rsidR="00AA7352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 من القيمة الجدولية البالغة</w:t>
      </w:r>
      <w:r w:rsidR="001F036D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(2</w:t>
      </w:r>
      <w:r w:rsidR="007D5AA8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.000</w:t>
      </w:r>
      <w:r w:rsidR="00AA7352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) ب</w:t>
      </w:r>
      <w:r w:rsidR="00111FC1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درجة حرية( 58) وعند مستوى دلالة</w:t>
      </w:r>
      <w:r w:rsidR="00AA7352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( 0.05 )</w:t>
      </w:r>
      <w:r w:rsidR="001F036D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، أي </w:t>
      </w:r>
      <w:r w:rsidR="001D2B93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أ</w:t>
      </w:r>
      <w:r w:rsidR="001F036D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ن</w:t>
      </w:r>
      <w:r w:rsidR="001D2B93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ّ</w:t>
      </w:r>
      <w:r w:rsidR="001F036D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 النتيجة دالة </w:t>
      </w:r>
      <w:r w:rsidR="001D2B93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إ</w:t>
      </w:r>
      <w:r w:rsidR="001F036D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حص</w:t>
      </w:r>
      <w:r w:rsidR="00AA7352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ائياً ولصالح المجموعة التجريبية</w:t>
      </w:r>
      <w:r w:rsidR="001F036D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، وبذلك تم رفض الفرضية الصفرية </w:t>
      </w:r>
      <w:r w:rsidR="000A6466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الثانية </w:t>
      </w:r>
      <w:r w:rsidR="00AA7352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القائلة</w:t>
      </w:r>
      <w:r w:rsidR="001F036D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 بعدم وجود فروق ذات دلا</w:t>
      </w:r>
      <w:r w:rsidR="00AA7352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لة إحصائية عند مستوى</w:t>
      </w:r>
      <w:r>
        <w:rPr>
          <w:rFonts w:ascii="Simplified Arabic" w:eastAsiaTheme="minorEastAsia" w:hAnsi="Simplified Arabic" w:cs="Simplified Arabic"/>
          <w:sz w:val="28"/>
          <w:szCs w:val="28"/>
          <w:rtl/>
        </w:rPr>
        <w:t>(0,05)</w:t>
      </w:r>
      <w:r>
        <w:rPr>
          <w:rFonts w:ascii="Simplified Arabic" w:eastAsiaTheme="minorEastAsia" w:hAnsi="Simplified Arabic" w:cs="Simplified Arabic" w:hint="cs"/>
          <w:sz w:val="28"/>
          <w:szCs w:val="28"/>
          <w:rtl/>
        </w:rPr>
        <w:t xml:space="preserve"> </w:t>
      </w:r>
      <w:r w:rsidR="001F036D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بين متوسط درجات </w:t>
      </w:r>
      <w:r w:rsidR="00101DD3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تلاميذ </w:t>
      </w:r>
      <w:r w:rsidR="001F036D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المجموعة التجريبية ا</w:t>
      </w:r>
      <w:r w:rsidR="009E379A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ل</w:t>
      </w:r>
      <w:r w:rsidR="001F036D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ذين </w:t>
      </w:r>
      <w:r w:rsidR="009E379A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يدرسون </w:t>
      </w:r>
      <w:r w:rsidR="001F036D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على وفق </w:t>
      </w:r>
      <w:proofErr w:type="spellStart"/>
      <w:r w:rsidR="00151880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إ</w:t>
      </w:r>
      <w:r w:rsidR="001F036D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ستراتيجية</w:t>
      </w:r>
      <w:proofErr w:type="spellEnd"/>
      <w:r w:rsidR="001F036D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 </w:t>
      </w:r>
      <w:r w:rsidR="00AA7352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دورة التعلم السباعية</w:t>
      </w:r>
      <w:r w:rsidR="001F036D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 ومتوسط درجات </w:t>
      </w:r>
      <w:r w:rsidR="00101DD3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تلاميذ </w:t>
      </w:r>
      <w:r w:rsidR="001F036D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المجموعة الضابطة الذين</w:t>
      </w:r>
      <w:r w:rsidR="00151880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 </w:t>
      </w:r>
      <w:r w:rsidR="009E379A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يدرسون </w:t>
      </w:r>
      <w:r w:rsidR="001F036D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على وفق الطريقة ا</w:t>
      </w:r>
      <w:r w:rsidR="00AA7352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لاستقرائية</w:t>
      </w:r>
      <w:r w:rsidR="001F036D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 في اختبار</w:t>
      </w:r>
      <w:r w:rsidR="00AA7352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 عمليات العلم</w:t>
      </w:r>
      <w:r w:rsidR="00151880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>.</w:t>
      </w:r>
    </w:p>
    <w:p w:rsidR="003A0974" w:rsidRDefault="003A0974" w:rsidP="003E6621">
      <w:pPr>
        <w:spacing w:after="160"/>
        <w:jc w:val="lowKashida"/>
        <w:rPr>
          <w:rFonts w:ascii="Simplified Arabic" w:eastAsiaTheme="minorEastAsia" w:hAnsi="Simplified Arabic" w:cs="Simplified Arabic"/>
          <w:sz w:val="28"/>
          <w:szCs w:val="28"/>
          <w:rtl/>
        </w:rPr>
      </w:pPr>
    </w:p>
    <w:p w:rsidR="003A0974" w:rsidRDefault="003A0974" w:rsidP="003E6621">
      <w:pPr>
        <w:spacing w:after="160"/>
        <w:jc w:val="lowKashida"/>
        <w:rPr>
          <w:rFonts w:ascii="Simplified Arabic" w:eastAsiaTheme="minorEastAsia" w:hAnsi="Simplified Arabic" w:cs="Simplified Arabic"/>
          <w:sz w:val="28"/>
          <w:szCs w:val="28"/>
          <w:rtl/>
        </w:rPr>
      </w:pPr>
    </w:p>
    <w:p w:rsidR="001D2422" w:rsidRPr="00C0426E" w:rsidRDefault="001D2422" w:rsidP="005F0D63">
      <w:pPr>
        <w:spacing w:after="160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C0426E">
        <w:rPr>
          <w:rFonts w:ascii="Simplified Arabic" w:hAnsi="Simplified Arabic" w:cs="Simplified Arabic"/>
          <w:noProof/>
          <w:sz w:val="28"/>
          <w:szCs w:val="28"/>
        </w:rPr>
        <w:lastRenderedPageBreak/>
        <w:drawing>
          <wp:inline distT="0" distB="0" distL="0" distR="0" wp14:anchorId="644DDD6E" wp14:editId="1A34ADF0">
            <wp:extent cx="5600700" cy="3105150"/>
            <wp:effectExtent l="0" t="0" r="19050" b="19050"/>
            <wp:docPr id="2" name="مخطط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F0D63" w:rsidRDefault="005F0D63" w:rsidP="005F0D63">
      <w:pPr>
        <w:tabs>
          <w:tab w:val="left" w:pos="270"/>
        </w:tabs>
        <w:spacing w:after="0"/>
        <w:jc w:val="lowKashida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 xml:space="preserve">                                        المخطط(7)</w:t>
      </w:r>
    </w:p>
    <w:p w:rsidR="005F0D63" w:rsidRPr="003A0974" w:rsidRDefault="005F0D63" w:rsidP="005F0D63">
      <w:pPr>
        <w:spacing w:after="0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  <w:r w:rsidRPr="00C0426E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>الاوساط الحسابية في الاختبارات البعدية للمجموعت</w:t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>ين التجريبية والضابطة في اختبار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C0426E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>عمليات العلم</w:t>
      </w:r>
    </w:p>
    <w:p w:rsidR="005F0D63" w:rsidRDefault="005F0D63" w:rsidP="005F0D63">
      <w:pPr>
        <w:tabs>
          <w:tab w:val="left" w:pos="270"/>
        </w:tabs>
        <w:spacing w:after="0"/>
        <w:jc w:val="lowKashida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</w:p>
    <w:p w:rsidR="00883251" w:rsidRPr="00C0426E" w:rsidRDefault="00883251" w:rsidP="00C0426E">
      <w:pPr>
        <w:tabs>
          <w:tab w:val="left" w:pos="270"/>
        </w:tabs>
        <w:spacing w:after="0"/>
        <w:jc w:val="lowKashida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  <w:r w:rsidRPr="00C0426E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>ثانيا</w:t>
      </w:r>
      <w:r w:rsidR="001927C9" w:rsidRPr="00C0426E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>ً</w:t>
      </w:r>
      <w:r w:rsidR="0021710E" w:rsidRPr="00C0426E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 xml:space="preserve">: تفسير النتائج </w:t>
      </w:r>
      <w:r w:rsidR="00F50B28" w:rsidRPr="00C0426E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>ومناقشتها</w:t>
      </w:r>
      <w:r w:rsidR="004E334C" w:rsidRPr="00C0426E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>:</w:t>
      </w:r>
    </w:p>
    <w:p w:rsidR="0021710E" w:rsidRPr="00C0426E" w:rsidRDefault="00432891" w:rsidP="00F94916">
      <w:pPr>
        <w:pStyle w:val="a3"/>
        <w:numPr>
          <w:ilvl w:val="0"/>
          <w:numId w:val="17"/>
        </w:numPr>
        <w:tabs>
          <w:tab w:val="left" w:pos="270"/>
        </w:tabs>
        <w:spacing w:after="0"/>
        <w:ind w:left="282" w:hanging="283"/>
        <w:jc w:val="lowKashida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  <w:r w:rsidRPr="00C0426E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="0021710E" w:rsidRPr="00C0426E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 xml:space="preserve">تفسير </w:t>
      </w:r>
      <w:r w:rsidR="0071265D" w:rsidRPr="00C0426E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 xml:space="preserve">نتيجة </w:t>
      </w:r>
      <w:r w:rsidRPr="00C0426E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>الفرضية الأولى</w:t>
      </w:r>
      <w:r w:rsidR="0021710E" w:rsidRPr="00C0426E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>:</w:t>
      </w:r>
    </w:p>
    <w:p w:rsidR="00883251" w:rsidRPr="00C0426E" w:rsidRDefault="00F94916" w:rsidP="00C0426E">
      <w:pPr>
        <w:tabs>
          <w:tab w:val="left" w:pos="270"/>
        </w:tabs>
        <w:spacing w:after="0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ab/>
        <w:t xml:space="preserve">  </w:t>
      </w:r>
      <w:r w:rsidR="00AA7352" w:rsidRPr="00C0426E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في ضوء النتيجة التي تمَّ عرضه</w:t>
      </w:r>
      <w:r w:rsidR="007A7D9E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</w:t>
      </w:r>
      <w:r w:rsidR="00883251" w:rsidRPr="00C0426E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، يرى الباحث أنَّ </w:t>
      </w:r>
      <w:r w:rsidR="001927C9" w:rsidRPr="00C0426E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أ</w:t>
      </w:r>
      <w:r w:rsidR="0057593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سباب تفوق تلاميذ </w:t>
      </w:r>
      <w:r w:rsidR="00883251" w:rsidRPr="00C0426E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المجموعة التجريبية ا</w:t>
      </w:r>
      <w:r w:rsidR="009E379A" w:rsidRPr="00C0426E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ل</w:t>
      </w:r>
      <w:r w:rsidR="00432891" w:rsidRPr="00C0426E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ذين</w:t>
      </w:r>
      <w:r w:rsidR="009E379A" w:rsidRPr="00C0426E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يدرسون </w:t>
      </w:r>
      <w:r w:rsidR="00151880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مادة </w:t>
      </w:r>
      <w:r w:rsidR="00151880" w:rsidRPr="00C0426E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="001927C9" w:rsidRPr="00C0426E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قواعد اللغة العربية </w:t>
      </w:r>
      <w:proofErr w:type="spellStart"/>
      <w:r w:rsidR="007C4302" w:rsidRPr="00C0426E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ب</w:t>
      </w:r>
      <w:r w:rsidR="00151880" w:rsidRPr="00C0426E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أ</w:t>
      </w:r>
      <w:r w:rsidR="007C4302" w:rsidRPr="00C0426E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ستعمال</w:t>
      </w:r>
      <w:proofErr w:type="spellEnd"/>
      <w:r w:rsidR="00883251" w:rsidRPr="00C0426E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="00151880" w:rsidRPr="00C0426E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إ</w:t>
      </w:r>
      <w:r w:rsidR="007C4302" w:rsidRPr="00C0426E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ستراتيجية</w:t>
      </w:r>
      <w:proofErr w:type="spellEnd"/>
      <w:r w:rsidR="001927C9" w:rsidRPr="00C0426E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"</w:t>
      </w:r>
      <w:r w:rsidR="004F70BD" w:rsidRPr="00C0426E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دورة التعلم السباعية</w:t>
      </w:r>
      <w:r w:rsidR="00040B0F" w:rsidRPr="00C0426E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"</w:t>
      </w:r>
      <w:r w:rsidR="00883251" w:rsidRPr="00C0426E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="00FF02CE" w:rsidRPr="00C0426E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على </w:t>
      </w:r>
      <w:r w:rsidR="00883251" w:rsidRPr="00C0426E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تلاميذ المجموعة الضابطة الذين</w:t>
      </w:r>
      <w:r w:rsidR="00151880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 </w:t>
      </w:r>
      <w:r w:rsidR="009E379A" w:rsidRPr="00C0426E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يدرسون </w:t>
      </w:r>
      <w:r w:rsidR="00883251" w:rsidRPr="00C0426E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مادة قواعد اللغة العربية بالطريقة ال</w:t>
      </w:r>
      <w:r w:rsidR="00AA7352" w:rsidRPr="00C0426E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استقرائية</w:t>
      </w:r>
      <w:r w:rsidR="001927C9" w:rsidRPr="00C0426E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في تحصيل</w:t>
      </w:r>
      <w:r w:rsidR="004E334C" w:rsidRPr="00C0426E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="001927C9" w:rsidRPr="00C0426E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يعود إلى الأ</w:t>
      </w:r>
      <w:r w:rsidR="00AA7352" w:rsidRPr="00C0426E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سباب الآتية</w:t>
      </w:r>
      <w:r w:rsidR="00883251" w:rsidRPr="00C0426E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:</w:t>
      </w:r>
    </w:p>
    <w:p w:rsidR="00F94916" w:rsidRDefault="00883251" w:rsidP="002972BA">
      <w:pPr>
        <w:pStyle w:val="a3"/>
        <w:numPr>
          <w:ilvl w:val="0"/>
          <w:numId w:val="19"/>
        </w:numPr>
        <w:tabs>
          <w:tab w:val="left" w:pos="282"/>
        </w:tabs>
        <w:spacing w:after="0"/>
        <w:ind w:left="424" w:hanging="425"/>
        <w:jc w:val="lowKashida"/>
        <w:rPr>
          <w:rFonts w:ascii="Simplified Arabic" w:eastAsia="Times New Roman" w:hAnsi="Simplified Arabic" w:cs="Simplified Arabic"/>
          <w:sz w:val="28"/>
          <w:szCs w:val="28"/>
          <w:lang w:bidi="ar-IQ"/>
        </w:rPr>
      </w:pPr>
      <w:r w:rsidRPr="00F9491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‌</w:t>
      </w:r>
      <w:r w:rsidR="00040B0F" w:rsidRPr="00F9491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أن </w:t>
      </w:r>
      <w:proofErr w:type="spellStart"/>
      <w:r w:rsidR="00AA7352" w:rsidRPr="00F9491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إ</w:t>
      </w:r>
      <w:r w:rsidR="00040B0F" w:rsidRPr="00F9491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ستراتيجية</w:t>
      </w:r>
      <w:proofErr w:type="spellEnd"/>
      <w:r w:rsidR="00040B0F" w:rsidRPr="00F9491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دورة التعلم السباعية المنبثقة من النظرية البنائية ساعدت تلاميذ على فهم </w:t>
      </w:r>
      <w:proofErr w:type="spellStart"/>
      <w:r w:rsidR="00040B0F" w:rsidRPr="00F9491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و</w:t>
      </w:r>
      <w:r w:rsidR="00151880" w:rsidRPr="00F9491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أ</w:t>
      </w:r>
      <w:r w:rsidR="002972BA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ستيعاب</w:t>
      </w:r>
      <w:proofErr w:type="spellEnd"/>
      <w:r w:rsidR="002972BA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r w:rsidR="00040B0F" w:rsidRPr="00F9491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المادة الدراسية بصورة أسرع وأسهل, فالتلم</w:t>
      </w:r>
      <w:r w:rsidR="00AA7352" w:rsidRPr="00F9491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يذ هنا يكون نشطاً, ويناقش ويفسر</w:t>
      </w:r>
      <w:r w:rsidR="00040B0F" w:rsidRPr="00F9491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,</w:t>
      </w:r>
      <w:r w:rsidR="00151880" w:rsidRPr="00F9491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="00040B0F" w:rsidRPr="00F9491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مما يجعله يعيش في بيئة </w:t>
      </w:r>
      <w:proofErr w:type="spellStart"/>
      <w:r w:rsidR="00322FA9" w:rsidRPr="00F9491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أ</w:t>
      </w:r>
      <w:r w:rsidR="00040B0F" w:rsidRPr="00F9491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جتماعية</w:t>
      </w:r>
      <w:proofErr w:type="spellEnd"/>
      <w:r w:rsidR="00040B0F" w:rsidRPr="00F9491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نشطة متعاونة</w:t>
      </w:r>
      <w:r w:rsidRPr="00F9491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.</w:t>
      </w:r>
    </w:p>
    <w:p w:rsidR="00F94916" w:rsidRDefault="00F94916" w:rsidP="000335DA">
      <w:pPr>
        <w:pStyle w:val="a3"/>
        <w:numPr>
          <w:ilvl w:val="0"/>
          <w:numId w:val="19"/>
        </w:numPr>
        <w:tabs>
          <w:tab w:val="left" w:pos="282"/>
        </w:tabs>
        <w:spacing w:after="0"/>
        <w:ind w:left="424" w:hanging="425"/>
        <w:jc w:val="lowKashida"/>
        <w:rPr>
          <w:rFonts w:ascii="Simplified Arabic" w:eastAsia="Times New Roman" w:hAnsi="Simplified Arabic" w:cs="Simplified Arabic"/>
          <w:sz w:val="28"/>
          <w:szCs w:val="28"/>
          <w:lang w:bidi="ar-IQ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r w:rsidR="00FF02CE" w:rsidRPr="00F9491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أن</w:t>
      </w:r>
      <w:r w:rsidR="00322FA9" w:rsidRPr="00F9491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ّ</w:t>
      </w:r>
      <w:r w:rsidR="00FF02CE" w:rsidRPr="00F9491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التنوع الخطوات</w:t>
      </w:r>
      <w:r w:rsidR="007A7D9E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في </w:t>
      </w:r>
      <w:proofErr w:type="spellStart"/>
      <w:r w:rsidR="00322FA9" w:rsidRPr="00F9491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إ</w:t>
      </w:r>
      <w:r w:rsidR="00FF02CE" w:rsidRPr="00F9491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ستراتيجية</w:t>
      </w:r>
      <w:proofErr w:type="spellEnd"/>
      <w:r w:rsidR="00FF02CE" w:rsidRPr="00F9491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دورة التعلم السباعية, ج</w:t>
      </w:r>
      <w:r w:rsidR="0057593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عل من مادة قواعد اللغة العربية</w:t>
      </w:r>
      <w:r w:rsidR="00FF02CE" w:rsidRPr="00F9491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لدى التلاميذ تتصف بالتشويق والمتعة والحيوية وجذب </w:t>
      </w:r>
      <w:r w:rsidR="007A7D9E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</w:t>
      </w:r>
      <w:r w:rsidR="00FF02CE" w:rsidRPr="00F9491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انتباه نحو المادة</w:t>
      </w:r>
      <w:r w:rsidR="00322FA9" w:rsidRPr="00F9491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.</w:t>
      </w:r>
    </w:p>
    <w:p w:rsidR="00F94916" w:rsidRDefault="001927C9" w:rsidP="002F5557">
      <w:pPr>
        <w:pStyle w:val="a3"/>
        <w:numPr>
          <w:ilvl w:val="0"/>
          <w:numId w:val="19"/>
        </w:numPr>
        <w:tabs>
          <w:tab w:val="left" w:pos="424"/>
        </w:tabs>
        <w:spacing w:after="0"/>
        <w:ind w:left="424" w:hanging="425"/>
        <w:jc w:val="lowKashida"/>
        <w:rPr>
          <w:rFonts w:ascii="Simplified Arabic" w:eastAsia="Times New Roman" w:hAnsi="Simplified Arabic" w:cs="Simplified Arabic"/>
          <w:sz w:val="28"/>
          <w:szCs w:val="28"/>
          <w:lang w:bidi="ar-IQ"/>
        </w:rPr>
      </w:pPr>
      <w:proofErr w:type="spellStart"/>
      <w:r w:rsidRPr="00F9491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lastRenderedPageBreak/>
        <w:t>إ</w:t>
      </w:r>
      <w:r w:rsidR="00883251" w:rsidRPr="00F9491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ستراتيجية</w:t>
      </w:r>
      <w:proofErr w:type="spellEnd"/>
      <w:r w:rsidR="00883251" w:rsidRPr="00F9491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="00FF02CE" w:rsidRPr="00F9491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دورة التعلم السباعية </w:t>
      </w:r>
      <w:r w:rsidR="00883251" w:rsidRPr="00F9491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وفرت لل</w:t>
      </w:r>
      <w:r w:rsidR="006A3C4D" w:rsidRPr="00F9491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تلاميذ</w:t>
      </w:r>
      <w:r w:rsidR="0057593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مواقف </w:t>
      </w:r>
      <w:r w:rsidR="00883251" w:rsidRPr="00F9491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تعليمية لممارسة مجموعة كبيرة من مهارات التفكير، منها حل المشك</w:t>
      </w:r>
      <w:r w:rsidR="006A3C4D" w:rsidRPr="00F9491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لات، </w:t>
      </w:r>
      <w:r w:rsidR="00AA7352" w:rsidRPr="00F9491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والأصالة في إنتاج الأفكا</w:t>
      </w:r>
      <w:r w:rsidR="0057593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ر</w:t>
      </w:r>
      <w:r w:rsidR="00AA7352" w:rsidRPr="00F9491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، مما</w:t>
      </w:r>
      <w:r w:rsidR="00883251" w:rsidRPr="00F9491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أدى </w:t>
      </w:r>
      <w:r w:rsidRPr="00F9491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إ</w:t>
      </w:r>
      <w:r w:rsidR="00883251" w:rsidRPr="00F9491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لى تحسين تحصيلهم الدراسي.</w:t>
      </w:r>
    </w:p>
    <w:p w:rsidR="00F94916" w:rsidRDefault="00151880" w:rsidP="000335DA">
      <w:pPr>
        <w:pStyle w:val="a3"/>
        <w:numPr>
          <w:ilvl w:val="0"/>
          <w:numId w:val="19"/>
        </w:numPr>
        <w:tabs>
          <w:tab w:val="left" w:pos="424"/>
        </w:tabs>
        <w:spacing w:after="0"/>
        <w:ind w:left="424" w:hanging="425"/>
        <w:jc w:val="lowKashida"/>
        <w:rPr>
          <w:rFonts w:ascii="Simplified Arabic" w:eastAsia="Times New Roman" w:hAnsi="Simplified Arabic" w:cs="Simplified Arabic"/>
          <w:sz w:val="28"/>
          <w:szCs w:val="28"/>
          <w:lang w:bidi="ar-IQ"/>
        </w:rPr>
      </w:pPr>
      <w:proofErr w:type="spellStart"/>
      <w:r w:rsidRPr="00F9491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إ</w:t>
      </w:r>
      <w:r w:rsidR="004E334C" w:rsidRPr="00F9491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ستراتيجية</w:t>
      </w:r>
      <w:proofErr w:type="spellEnd"/>
      <w:r w:rsidR="00056376" w:rsidRPr="00F9491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دورة التعلم السباعية </w:t>
      </w:r>
      <w:r w:rsidR="00883251" w:rsidRPr="00F9491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تسهم في تحفيّز البنية المعرف</w:t>
      </w:r>
      <w:r w:rsidR="0057593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ية، لدى التلاميذ</w:t>
      </w:r>
      <w:r w:rsidR="00E57426" w:rsidRPr="00F9491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مما يزيد</w:t>
      </w:r>
      <w:r w:rsidR="00883251" w:rsidRPr="00F9491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في قدرتهم على معالجة الخبرات والمواقف الجديدة التي </w:t>
      </w:r>
      <w:r w:rsidRPr="00F9491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تواجههم </w:t>
      </w:r>
      <w:r w:rsidR="00E57426" w:rsidRPr="00F9491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وربطها بالخبرات السابقة</w:t>
      </w:r>
      <w:r w:rsidR="00883251" w:rsidRPr="00F9491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، ومن ثم زيادة في التحصيل.</w:t>
      </w:r>
    </w:p>
    <w:p w:rsidR="000335DA" w:rsidRPr="000335DA" w:rsidRDefault="007A2480" w:rsidP="007A7D9E">
      <w:pPr>
        <w:pStyle w:val="a3"/>
        <w:numPr>
          <w:ilvl w:val="0"/>
          <w:numId w:val="19"/>
        </w:numPr>
        <w:tabs>
          <w:tab w:val="left" w:pos="424"/>
        </w:tabs>
        <w:spacing w:after="0"/>
        <w:ind w:left="424" w:hanging="425"/>
        <w:jc w:val="lowKashida"/>
        <w:rPr>
          <w:rFonts w:ascii="Simplified Arabic" w:eastAsia="Times New Roman" w:hAnsi="Simplified Arabic" w:cs="Simplified Arabic"/>
          <w:sz w:val="28"/>
          <w:szCs w:val="28"/>
          <w:lang w:bidi="ar-IQ"/>
        </w:rPr>
      </w:pPr>
      <w:proofErr w:type="spellStart"/>
      <w:r w:rsidRPr="00F9491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إ</w:t>
      </w:r>
      <w:r w:rsidR="00056376" w:rsidRPr="00F9491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ستراتيجة</w:t>
      </w:r>
      <w:proofErr w:type="spellEnd"/>
      <w:r w:rsidR="00056376" w:rsidRPr="00F9491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دورة التعلم السباعية جعلت التلاميذ نشيطين متفاعلين في بناء معرفتهم بأنفسهم عن طريق تفاعلهم, في بيئة الصفية يسودها تبادل ال</w:t>
      </w:r>
      <w:r w:rsidR="00322FA9" w:rsidRPr="00F9491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أ</w:t>
      </w:r>
      <w:r w:rsidR="00056376" w:rsidRPr="00F9491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فكار والمعلومات وزيادة رغبة </w:t>
      </w:r>
      <w:r w:rsidR="007A7D9E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</w:t>
      </w:r>
      <w:r w:rsidR="00056376" w:rsidRPr="00F9491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تلاميذ في </w:t>
      </w:r>
      <w:proofErr w:type="spellStart"/>
      <w:r w:rsidR="00322FA9" w:rsidRPr="00F9491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ال</w:t>
      </w:r>
      <w:r w:rsidR="00151880" w:rsidRPr="00F9491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أ</w:t>
      </w:r>
      <w:r w:rsidR="00322FA9" w:rsidRPr="00F9491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تصال</w:t>
      </w:r>
      <w:proofErr w:type="spellEnd"/>
      <w:r w:rsidR="00056376" w:rsidRPr="00F9491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والتفاعل مع المعلم والمادة, </w:t>
      </w:r>
      <w:r w:rsidR="00235A16" w:rsidRPr="00F9491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واستمرارية</w:t>
      </w:r>
      <w:r w:rsidR="00056376" w:rsidRPr="00F9491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هذا التفاعل زاد من دافعيتهم للتعلم مما </w:t>
      </w:r>
      <w:r w:rsidR="00322FA9" w:rsidRPr="00F9491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أ</w:t>
      </w:r>
      <w:r w:rsidR="00056376" w:rsidRPr="00F9491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دى </w:t>
      </w:r>
      <w:r w:rsidR="00322FA9" w:rsidRPr="00F9491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إ</w:t>
      </w:r>
      <w:r w:rsidR="00056376" w:rsidRPr="00F9491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لى زادة تحصيلهم.</w:t>
      </w:r>
      <w:r w:rsidR="000E1657" w:rsidRPr="00F9491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EE3107" w:rsidRPr="000335DA" w:rsidRDefault="00322FA9" w:rsidP="00DA2483">
      <w:pPr>
        <w:pStyle w:val="a3"/>
        <w:numPr>
          <w:ilvl w:val="0"/>
          <w:numId w:val="19"/>
        </w:numPr>
        <w:tabs>
          <w:tab w:val="left" w:pos="424"/>
        </w:tabs>
        <w:spacing w:after="0"/>
        <w:ind w:left="424" w:hanging="425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proofErr w:type="spellStart"/>
      <w:r w:rsidRPr="000335DA">
        <w:rPr>
          <w:rFonts w:ascii="Simplified Arabic" w:hAnsi="Simplified Arabic" w:cs="Simplified Arabic"/>
          <w:sz w:val="28"/>
          <w:szCs w:val="28"/>
          <w:rtl/>
          <w:lang w:bidi="ar-IQ"/>
        </w:rPr>
        <w:t>إ</w:t>
      </w:r>
      <w:r w:rsidR="00AA7352" w:rsidRPr="000335DA">
        <w:rPr>
          <w:rFonts w:ascii="Simplified Arabic" w:hAnsi="Simplified Arabic" w:cs="Simplified Arabic"/>
          <w:sz w:val="28"/>
          <w:szCs w:val="28"/>
          <w:rtl/>
          <w:lang w:bidi="ar-IQ"/>
        </w:rPr>
        <w:t>ستراتيجية</w:t>
      </w:r>
      <w:proofErr w:type="spellEnd"/>
      <w:r w:rsidR="007F4756" w:rsidRPr="000335D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دورة التعلم السباعية </w:t>
      </w:r>
      <w:r w:rsidR="000E1657" w:rsidRPr="000335D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تزيد من دافعية المتعلم نحو مادة القواعد, بسبب التفاعل الإيجابي </w:t>
      </w:r>
      <w:r w:rsidR="00DA248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0E1657" w:rsidRPr="000335DA">
        <w:rPr>
          <w:rFonts w:ascii="Simplified Arabic" w:hAnsi="Simplified Arabic" w:cs="Simplified Arabic"/>
          <w:sz w:val="28"/>
          <w:szCs w:val="28"/>
          <w:rtl/>
          <w:lang w:bidi="ar-IQ"/>
        </w:rPr>
        <w:t>بين المتعلم والمادة من جهة, وبين المتعلم وأقرانه والمعلم من جهة أ</w:t>
      </w:r>
      <w:r w:rsidR="00151880" w:rsidRPr="000335DA">
        <w:rPr>
          <w:rFonts w:ascii="Simplified Arabic" w:hAnsi="Simplified Arabic" w:cs="Simplified Arabic"/>
          <w:sz w:val="28"/>
          <w:szCs w:val="28"/>
          <w:rtl/>
          <w:lang w:bidi="ar-IQ"/>
        </w:rPr>
        <w:t>ُ</w:t>
      </w:r>
      <w:r w:rsidR="000E1657" w:rsidRPr="000335DA">
        <w:rPr>
          <w:rFonts w:ascii="Simplified Arabic" w:hAnsi="Simplified Arabic" w:cs="Simplified Arabic"/>
          <w:sz w:val="28"/>
          <w:szCs w:val="28"/>
          <w:rtl/>
          <w:lang w:bidi="ar-IQ"/>
        </w:rPr>
        <w:t>خرى.</w:t>
      </w:r>
    </w:p>
    <w:p w:rsidR="00424F47" w:rsidRPr="00424F47" w:rsidRDefault="00E808C4" w:rsidP="00424F47">
      <w:pPr>
        <w:pStyle w:val="a3"/>
        <w:numPr>
          <w:ilvl w:val="0"/>
          <w:numId w:val="17"/>
        </w:numPr>
        <w:tabs>
          <w:tab w:val="left" w:pos="566"/>
        </w:tabs>
        <w:spacing w:after="0"/>
        <w:ind w:left="140" w:hanging="141"/>
        <w:jc w:val="lowKashida"/>
        <w:rPr>
          <w:rFonts w:ascii="Simplified Arabic" w:hAnsi="Simplified Arabic" w:cs="Simplified Arabic"/>
          <w:sz w:val="28"/>
          <w:szCs w:val="28"/>
          <w:lang w:bidi="ar-IQ"/>
        </w:rPr>
      </w:pPr>
      <w:r w:rsidRPr="000335DA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>تفسير</w:t>
      </w:r>
      <w:r w:rsidR="0071265D" w:rsidRPr="000335DA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 xml:space="preserve"> نتيجة </w:t>
      </w:r>
      <w:r w:rsidRPr="000335DA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>الفرضية الثانية:</w:t>
      </w:r>
    </w:p>
    <w:p w:rsidR="00322FA9" w:rsidRPr="00424F47" w:rsidRDefault="00D22A3E" w:rsidP="00424F47">
      <w:pPr>
        <w:tabs>
          <w:tab w:val="left" w:pos="566"/>
        </w:tabs>
        <w:spacing w:after="0"/>
        <w:ind w:left="-1"/>
        <w:jc w:val="lowKashida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    </w:t>
      </w:r>
      <w:r w:rsidR="00322FA9" w:rsidRPr="00424F47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في ضوء النتيجة التي تمَّ عرضها، يرى الباحث أنَّ أ</w:t>
      </w:r>
      <w:r w:rsidR="00AA7352" w:rsidRPr="00424F47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سباب تفوق تلاميذ</w:t>
      </w:r>
      <w:r w:rsidR="00322FA9" w:rsidRPr="00424F47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المجموعة التجريبية الذين </w:t>
      </w:r>
      <w:r w:rsidR="00EE3107" w:rsidRPr="00424F47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يدرسون </w:t>
      </w:r>
      <w:r w:rsidR="00603B8D" w:rsidRPr="00424F47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مادة  </w:t>
      </w:r>
      <w:r w:rsidR="00322FA9" w:rsidRPr="00424F47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قواعد اللغة العربية </w:t>
      </w:r>
      <w:proofErr w:type="spellStart"/>
      <w:r w:rsidR="00322FA9" w:rsidRPr="00424F47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ب</w:t>
      </w:r>
      <w:r w:rsidR="00603B8D" w:rsidRPr="00424F47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أ</w:t>
      </w:r>
      <w:r w:rsidR="00322FA9" w:rsidRPr="00424F47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ستعمال</w:t>
      </w:r>
      <w:proofErr w:type="spellEnd"/>
      <w:r w:rsidR="00322FA9" w:rsidRPr="00424F47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است</w:t>
      </w:r>
      <w:r w:rsidR="003060F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راتيجية "دورة التعلم السباعية"</w:t>
      </w:r>
      <w:r w:rsidR="003060F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r w:rsidR="00322FA9" w:rsidRPr="00424F47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على </w:t>
      </w:r>
      <w:r w:rsidR="00EE3107" w:rsidRPr="00424F47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تلاميذ المجموعة الضابطة ا</w:t>
      </w:r>
      <w:r w:rsidR="00603B8D" w:rsidRPr="00424F47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ل</w:t>
      </w:r>
      <w:r w:rsidR="00322FA9" w:rsidRPr="00424F47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ذين </w:t>
      </w:r>
      <w:r w:rsidR="00EE3107" w:rsidRPr="00424F47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يدرسون </w:t>
      </w:r>
      <w:r w:rsidR="00322FA9" w:rsidRPr="00424F47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مادة قواعد اللغ</w:t>
      </w:r>
      <w:r w:rsidR="003060F9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ة العربية بالطريقة الاستقرائية </w:t>
      </w:r>
      <w:r w:rsidR="00322FA9" w:rsidRPr="00424F47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في </w:t>
      </w:r>
      <w:proofErr w:type="spellStart"/>
      <w:r w:rsidR="00603B8D" w:rsidRPr="00424F47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أ</w:t>
      </w:r>
      <w:r w:rsidR="00432891" w:rsidRPr="00424F47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ختبار</w:t>
      </w:r>
      <w:proofErr w:type="spellEnd"/>
      <w:r w:rsidR="00432891" w:rsidRPr="00424F47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="00322FA9" w:rsidRPr="00424F47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عمليات العلم يعود إلى الأ</w:t>
      </w:r>
      <w:r w:rsidR="00AA7352" w:rsidRPr="00424F47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سباب الآتية</w:t>
      </w:r>
      <w:r w:rsidR="00322FA9" w:rsidRPr="00424F47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:</w:t>
      </w:r>
    </w:p>
    <w:p w:rsidR="000335DA" w:rsidRDefault="007A7D9E" w:rsidP="00424F47">
      <w:pPr>
        <w:pStyle w:val="a3"/>
        <w:numPr>
          <w:ilvl w:val="0"/>
          <w:numId w:val="20"/>
        </w:numPr>
        <w:tabs>
          <w:tab w:val="left" w:pos="566"/>
        </w:tabs>
        <w:ind w:left="282" w:hanging="283"/>
        <w:jc w:val="lowKashida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595332" w:rsidRPr="000335DA">
        <w:rPr>
          <w:rFonts w:ascii="Simplified Arabic" w:hAnsi="Simplified Arabic" w:cs="Simplified Arabic"/>
          <w:sz w:val="28"/>
          <w:szCs w:val="28"/>
          <w:rtl/>
          <w:lang w:bidi="ar-IQ"/>
        </w:rPr>
        <w:t>ن</w:t>
      </w:r>
      <w:r w:rsidR="00322FA9" w:rsidRPr="000335DA">
        <w:rPr>
          <w:rFonts w:ascii="Simplified Arabic" w:hAnsi="Simplified Arabic" w:cs="Simplified Arabic"/>
          <w:sz w:val="28"/>
          <w:szCs w:val="28"/>
          <w:rtl/>
          <w:lang w:bidi="ar-IQ"/>
        </w:rPr>
        <w:t>ّ</w:t>
      </w:r>
      <w:r w:rsidR="00595332" w:rsidRPr="000335D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="00603B8D" w:rsidRPr="000335DA">
        <w:rPr>
          <w:rFonts w:ascii="Simplified Arabic" w:hAnsi="Simplified Arabic" w:cs="Simplified Arabic"/>
          <w:sz w:val="28"/>
          <w:szCs w:val="28"/>
          <w:rtl/>
          <w:lang w:bidi="ar-IQ"/>
        </w:rPr>
        <w:t>أ</w:t>
      </w:r>
      <w:r w:rsidR="00595332" w:rsidRPr="000335DA">
        <w:rPr>
          <w:rFonts w:ascii="Simplified Arabic" w:hAnsi="Simplified Arabic" w:cs="Simplified Arabic"/>
          <w:sz w:val="28"/>
          <w:szCs w:val="28"/>
          <w:rtl/>
          <w:lang w:bidi="ar-IQ"/>
        </w:rPr>
        <w:t>ستعمال</w:t>
      </w:r>
      <w:proofErr w:type="spellEnd"/>
      <w:r w:rsidR="00595332" w:rsidRPr="000335D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="00322FA9" w:rsidRPr="000335DA">
        <w:rPr>
          <w:rFonts w:ascii="Simplified Arabic" w:hAnsi="Simplified Arabic" w:cs="Simplified Arabic"/>
          <w:sz w:val="28"/>
          <w:szCs w:val="28"/>
          <w:rtl/>
          <w:lang w:bidi="ar-IQ"/>
        </w:rPr>
        <w:t>إ</w:t>
      </w:r>
      <w:r w:rsidR="00575939">
        <w:rPr>
          <w:rFonts w:ascii="Simplified Arabic" w:hAnsi="Simplified Arabic" w:cs="Simplified Arabic"/>
          <w:sz w:val="28"/>
          <w:szCs w:val="28"/>
          <w:rtl/>
          <w:lang w:bidi="ar-IQ"/>
        </w:rPr>
        <w:t>ستراتيجية</w:t>
      </w:r>
      <w:proofErr w:type="spellEnd"/>
      <w:r w:rsidR="00160755" w:rsidRPr="000335D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432891" w:rsidRPr="000335DA">
        <w:rPr>
          <w:rFonts w:ascii="Simplified Arabic" w:hAnsi="Simplified Arabic" w:cs="Simplified Arabic"/>
          <w:sz w:val="28"/>
          <w:szCs w:val="28"/>
          <w:rtl/>
          <w:lang w:bidi="ar-IQ"/>
        </w:rPr>
        <w:t>دورة التعلم السباعية</w:t>
      </w:r>
      <w:r w:rsidR="00595332" w:rsidRPr="000335D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ساعد التلاميذ على ترتيب </w:t>
      </w:r>
      <w:r w:rsidR="00603B8D" w:rsidRPr="000335DA">
        <w:rPr>
          <w:rFonts w:ascii="Simplified Arabic" w:hAnsi="Simplified Arabic" w:cs="Simplified Arabic"/>
          <w:sz w:val="28"/>
          <w:szCs w:val="28"/>
          <w:rtl/>
          <w:lang w:bidi="ar-IQ"/>
        </w:rPr>
        <w:t>أ</w:t>
      </w:r>
      <w:r w:rsidR="00595332" w:rsidRPr="000335DA">
        <w:rPr>
          <w:rFonts w:ascii="Simplified Arabic" w:hAnsi="Simplified Arabic" w:cs="Simplified Arabic"/>
          <w:sz w:val="28"/>
          <w:szCs w:val="28"/>
          <w:rtl/>
          <w:lang w:bidi="ar-IQ"/>
        </w:rPr>
        <w:t>فكارهم بطريقة متسلسلة وفهم ما يق</w:t>
      </w:r>
      <w:r w:rsidR="00575939">
        <w:rPr>
          <w:rFonts w:ascii="Simplified Arabic" w:hAnsi="Simplified Arabic" w:cs="Simplified Arabic"/>
          <w:sz w:val="28"/>
          <w:szCs w:val="28"/>
          <w:rtl/>
          <w:lang w:bidi="ar-IQ"/>
        </w:rPr>
        <w:t>ومون بعمله وبذلك يمكنهم التعبير</w:t>
      </w:r>
      <w:r w:rsidR="0057593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595332" w:rsidRPr="000335D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عن </w:t>
      </w:r>
      <w:r w:rsidR="00322FA9" w:rsidRPr="000335DA">
        <w:rPr>
          <w:rFonts w:ascii="Simplified Arabic" w:hAnsi="Simplified Arabic" w:cs="Simplified Arabic"/>
          <w:sz w:val="28"/>
          <w:szCs w:val="28"/>
          <w:rtl/>
          <w:lang w:bidi="ar-IQ"/>
        </w:rPr>
        <w:t>أ</w:t>
      </w:r>
      <w:r w:rsidR="00595332" w:rsidRPr="000335D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فكارهم بشكل </w:t>
      </w:r>
      <w:r w:rsidR="00322FA9" w:rsidRPr="000335DA">
        <w:rPr>
          <w:rFonts w:ascii="Simplified Arabic" w:hAnsi="Simplified Arabic" w:cs="Simplified Arabic"/>
          <w:sz w:val="28"/>
          <w:szCs w:val="28"/>
          <w:rtl/>
          <w:lang w:bidi="ar-IQ"/>
        </w:rPr>
        <w:t>أ</w:t>
      </w:r>
      <w:r w:rsidR="00AA7352" w:rsidRPr="000335DA">
        <w:rPr>
          <w:rFonts w:ascii="Simplified Arabic" w:hAnsi="Simplified Arabic" w:cs="Simplified Arabic"/>
          <w:sz w:val="28"/>
          <w:szCs w:val="28"/>
          <w:rtl/>
          <w:lang w:bidi="ar-IQ"/>
        </w:rPr>
        <w:t>فضل</w:t>
      </w:r>
      <w:r w:rsidR="00595332" w:rsidRPr="000335DA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0335DA" w:rsidRDefault="007A7D9E" w:rsidP="00424F47">
      <w:pPr>
        <w:pStyle w:val="a3"/>
        <w:numPr>
          <w:ilvl w:val="0"/>
          <w:numId w:val="20"/>
        </w:numPr>
        <w:tabs>
          <w:tab w:val="left" w:pos="140"/>
          <w:tab w:val="left" w:pos="424"/>
        </w:tabs>
        <w:ind w:left="282" w:hanging="283"/>
        <w:jc w:val="lowKashida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595332" w:rsidRPr="000335DA">
        <w:rPr>
          <w:rFonts w:ascii="Simplified Arabic" w:hAnsi="Simplified Arabic" w:cs="Simplified Arabic"/>
          <w:sz w:val="28"/>
          <w:szCs w:val="28"/>
          <w:rtl/>
          <w:lang w:bidi="ar-IQ"/>
        </w:rPr>
        <w:t>ن</w:t>
      </w:r>
      <w:r w:rsidR="00322FA9" w:rsidRPr="000335DA">
        <w:rPr>
          <w:rFonts w:ascii="Simplified Arabic" w:hAnsi="Simplified Arabic" w:cs="Simplified Arabic"/>
          <w:sz w:val="28"/>
          <w:szCs w:val="28"/>
          <w:rtl/>
          <w:lang w:bidi="ar-IQ"/>
        </w:rPr>
        <w:t>ّ</w:t>
      </w:r>
      <w:r w:rsidR="00595332" w:rsidRPr="000335D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="00322FA9" w:rsidRPr="000335DA">
        <w:rPr>
          <w:rFonts w:ascii="Simplified Arabic" w:hAnsi="Simplified Arabic" w:cs="Simplified Arabic"/>
          <w:sz w:val="28"/>
          <w:szCs w:val="28"/>
          <w:rtl/>
          <w:lang w:bidi="ar-IQ"/>
        </w:rPr>
        <w:t>إ</w:t>
      </w:r>
      <w:r w:rsidR="00595332" w:rsidRPr="000335DA">
        <w:rPr>
          <w:rFonts w:ascii="Simplified Arabic" w:hAnsi="Simplified Arabic" w:cs="Simplified Arabic"/>
          <w:sz w:val="28"/>
          <w:szCs w:val="28"/>
          <w:rtl/>
          <w:lang w:bidi="ar-IQ"/>
        </w:rPr>
        <w:t>ستراتيجية</w:t>
      </w:r>
      <w:proofErr w:type="spellEnd"/>
      <w:r w:rsidR="00432891" w:rsidRPr="000335D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دورة التعلم السباعية</w:t>
      </w:r>
      <w:r w:rsidR="00595332" w:rsidRPr="000335D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تعتمد على الخبرات الحسية التي تثير التفكير داخل غرفة الصف </w:t>
      </w:r>
      <w:r w:rsidR="00424F4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595332" w:rsidRPr="000335D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مما </w:t>
      </w:r>
      <w:r w:rsidR="00322FA9" w:rsidRPr="000335DA">
        <w:rPr>
          <w:rFonts w:ascii="Simplified Arabic" w:hAnsi="Simplified Arabic" w:cs="Simplified Arabic"/>
          <w:sz w:val="28"/>
          <w:szCs w:val="28"/>
          <w:rtl/>
          <w:lang w:bidi="ar-IQ"/>
        </w:rPr>
        <w:t>أ</w:t>
      </w:r>
      <w:r w:rsidR="00595332" w:rsidRPr="000335D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دى إلى زيادة اكتساب المفاهيم وإيجاد الحلول المناسبة للمشكلات المطروحة </w:t>
      </w:r>
      <w:r w:rsidR="00AA7352" w:rsidRPr="000335DA">
        <w:rPr>
          <w:rFonts w:ascii="Simplified Arabic" w:hAnsi="Simplified Arabic" w:cs="Simplified Arabic"/>
          <w:sz w:val="28"/>
          <w:szCs w:val="28"/>
          <w:rtl/>
          <w:lang w:bidi="ar-IQ"/>
        </w:rPr>
        <w:t>عن طريق عمليات العلم</w:t>
      </w:r>
      <w:r w:rsidR="00595332" w:rsidRPr="000335DA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0335DA" w:rsidRDefault="00603B8D" w:rsidP="00424F47">
      <w:pPr>
        <w:pStyle w:val="a3"/>
        <w:numPr>
          <w:ilvl w:val="0"/>
          <w:numId w:val="20"/>
        </w:numPr>
        <w:tabs>
          <w:tab w:val="left" w:pos="-1"/>
          <w:tab w:val="left" w:pos="282"/>
        </w:tabs>
        <w:ind w:left="140" w:hanging="141"/>
        <w:jc w:val="lowKashida"/>
        <w:rPr>
          <w:rFonts w:ascii="Simplified Arabic" w:hAnsi="Simplified Arabic" w:cs="Simplified Arabic"/>
          <w:sz w:val="28"/>
          <w:szCs w:val="28"/>
          <w:lang w:bidi="ar-IQ"/>
        </w:rPr>
      </w:pPr>
      <w:proofErr w:type="spellStart"/>
      <w:r w:rsidRPr="000335DA">
        <w:rPr>
          <w:rFonts w:ascii="Simplified Arabic" w:hAnsi="Simplified Arabic" w:cs="Simplified Arabic"/>
          <w:sz w:val="28"/>
          <w:szCs w:val="28"/>
          <w:rtl/>
          <w:lang w:bidi="ar-IQ"/>
        </w:rPr>
        <w:t>أ</w:t>
      </w:r>
      <w:r w:rsidR="006D78D3" w:rsidRPr="000335DA">
        <w:rPr>
          <w:rFonts w:ascii="Simplified Arabic" w:hAnsi="Simplified Arabic" w:cs="Simplified Arabic"/>
          <w:sz w:val="28"/>
          <w:szCs w:val="28"/>
          <w:rtl/>
          <w:lang w:bidi="ar-IQ"/>
        </w:rPr>
        <w:t>عتماد</w:t>
      </w:r>
      <w:proofErr w:type="spellEnd"/>
      <w:r w:rsidR="00595332" w:rsidRPr="000335D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="0071265D" w:rsidRPr="000335DA">
        <w:rPr>
          <w:rFonts w:ascii="Simplified Arabic" w:hAnsi="Simplified Arabic" w:cs="Simplified Arabic"/>
          <w:sz w:val="28"/>
          <w:szCs w:val="28"/>
          <w:rtl/>
          <w:lang w:bidi="ar-IQ"/>
        </w:rPr>
        <w:t>إ</w:t>
      </w:r>
      <w:r w:rsidR="00595332" w:rsidRPr="000335DA">
        <w:rPr>
          <w:rFonts w:ascii="Simplified Arabic" w:hAnsi="Simplified Arabic" w:cs="Simplified Arabic"/>
          <w:sz w:val="28"/>
          <w:szCs w:val="28"/>
          <w:rtl/>
          <w:lang w:bidi="ar-IQ"/>
        </w:rPr>
        <w:t>ستراتيجية</w:t>
      </w:r>
      <w:proofErr w:type="spellEnd"/>
      <w:r w:rsidR="00595332" w:rsidRPr="000335D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دورة </w:t>
      </w:r>
      <w:r w:rsidR="007A7D9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595332" w:rsidRPr="000335DA">
        <w:rPr>
          <w:rFonts w:ascii="Simplified Arabic" w:hAnsi="Simplified Arabic" w:cs="Simplified Arabic"/>
          <w:sz w:val="28"/>
          <w:szCs w:val="28"/>
          <w:rtl/>
          <w:lang w:bidi="ar-IQ"/>
        </w:rPr>
        <w:t>لتعلم السباعية على تفصيل المفاهيم المتعلّمة والتدرج والتسلسل في عرضها وتوضيحها أكسب تلاميذ المجموعة التجريبية القدرة على ال</w:t>
      </w:r>
      <w:r w:rsidR="00AA7352" w:rsidRPr="000335DA">
        <w:rPr>
          <w:rFonts w:ascii="Simplified Arabic" w:hAnsi="Simplified Arabic" w:cs="Simplified Arabic"/>
          <w:sz w:val="28"/>
          <w:szCs w:val="28"/>
          <w:rtl/>
          <w:lang w:bidi="ar-IQ"/>
        </w:rPr>
        <w:t>تعريف والتمييز والتطبيق للمفهوم</w:t>
      </w:r>
      <w:r w:rsidR="00432891" w:rsidRPr="000335DA">
        <w:rPr>
          <w:rFonts w:ascii="Simplified Arabic" w:hAnsi="Simplified Arabic" w:cs="Simplified Arabic"/>
          <w:sz w:val="28"/>
          <w:szCs w:val="28"/>
          <w:rtl/>
          <w:lang w:bidi="ar-IQ"/>
        </w:rPr>
        <w:t>,</w:t>
      </w:r>
      <w:r w:rsidR="00595332" w:rsidRPr="000335D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لاستناده على عمليات </w:t>
      </w:r>
      <w:r w:rsidR="0071265D" w:rsidRPr="000335D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العلم </w:t>
      </w:r>
      <w:r w:rsidR="00595332" w:rsidRPr="000335DA">
        <w:rPr>
          <w:rFonts w:ascii="Simplified Arabic" w:hAnsi="Simplified Arabic" w:cs="Simplified Arabic"/>
          <w:sz w:val="28"/>
          <w:szCs w:val="28"/>
          <w:rtl/>
          <w:lang w:bidi="ar-IQ"/>
        </w:rPr>
        <w:t>مما ساعد في تكوين بنية مفاهيم</w:t>
      </w:r>
      <w:r w:rsidRPr="000335DA">
        <w:rPr>
          <w:rFonts w:ascii="Simplified Arabic" w:hAnsi="Simplified Arabic" w:cs="Simplified Arabic"/>
          <w:sz w:val="28"/>
          <w:szCs w:val="28"/>
          <w:rtl/>
          <w:lang w:bidi="ar-IQ"/>
        </w:rPr>
        <w:t>ه</w:t>
      </w:r>
      <w:r w:rsidR="00595332" w:rsidRPr="000335D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متكاملة .</w:t>
      </w:r>
    </w:p>
    <w:p w:rsidR="000335DA" w:rsidRDefault="007A2480" w:rsidP="007A7D9E">
      <w:pPr>
        <w:pStyle w:val="a3"/>
        <w:numPr>
          <w:ilvl w:val="0"/>
          <w:numId w:val="20"/>
        </w:numPr>
        <w:ind w:left="282" w:hanging="283"/>
        <w:jc w:val="lowKashida"/>
        <w:rPr>
          <w:rFonts w:ascii="Simplified Arabic" w:hAnsi="Simplified Arabic" w:cs="Simplified Arabic"/>
          <w:sz w:val="28"/>
          <w:szCs w:val="28"/>
          <w:lang w:bidi="ar-IQ"/>
        </w:rPr>
      </w:pPr>
      <w:r w:rsidRPr="000335DA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>أ</w:t>
      </w:r>
      <w:r w:rsidR="00595332" w:rsidRPr="000335D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همية </w:t>
      </w:r>
      <w:proofErr w:type="spellStart"/>
      <w:r w:rsidR="007A7D9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595332" w:rsidRPr="000335DA">
        <w:rPr>
          <w:rFonts w:ascii="Simplified Arabic" w:hAnsi="Simplified Arabic" w:cs="Simplified Arabic"/>
          <w:sz w:val="28"/>
          <w:szCs w:val="28"/>
          <w:rtl/>
          <w:lang w:bidi="ar-IQ"/>
        </w:rPr>
        <w:t>ستعمال</w:t>
      </w:r>
      <w:proofErr w:type="spellEnd"/>
      <w:r w:rsidR="00595332" w:rsidRPr="000335D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0335DA">
        <w:rPr>
          <w:rFonts w:ascii="Simplified Arabic" w:hAnsi="Simplified Arabic" w:cs="Simplified Arabic"/>
          <w:sz w:val="28"/>
          <w:szCs w:val="28"/>
          <w:rtl/>
          <w:lang w:bidi="ar-IQ"/>
        </w:rPr>
        <w:t>إ</w:t>
      </w:r>
      <w:r w:rsidR="00AA7352" w:rsidRPr="000335DA">
        <w:rPr>
          <w:rFonts w:ascii="Simplified Arabic" w:hAnsi="Simplified Arabic" w:cs="Simplified Arabic"/>
          <w:sz w:val="28"/>
          <w:szCs w:val="28"/>
          <w:rtl/>
          <w:lang w:bidi="ar-IQ"/>
        </w:rPr>
        <w:t>ستراتيجية</w:t>
      </w:r>
      <w:proofErr w:type="spellEnd"/>
      <w:r w:rsidR="00AA7352" w:rsidRPr="000335D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دورة التعلم السباعية</w:t>
      </w:r>
      <w:r w:rsidR="00595332" w:rsidRPr="000335D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تدريس </w:t>
      </w:r>
      <w:r w:rsidR="007A7D9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</w:t>
      </w:r>
      <w:r w:rsidR="00326F30" w:rsidRPr="000335D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قواعد </w:t>
      </w:r>
      <w:r w:rsidR="00595332" w:rsidRPr="000335DA">
        <w:rPr>
          <w:rFonts w:ascii="Simplified Arabic" w:hAnsi="Simplified Arabic" w:cs="Simplified Arabic"/>
          <w:sz w:val="28"/>
          <w:szCs w:val="28"/>
          <w:rtl/>
          <w:lang w:bidi="ar-IQ"/>
        </w:rPr>
        <w:t>كونها مادة مهمة تحتوي على مفاهيم غزيرة و</w:t>
      </w:r>
      <w:r w:rsidR="00603B8D" w:rsidRPr="000335DA">
        <w:rPr>
          <w:rFonts w:ascii="Simplified Arabic" w:hAnsi="Simplified Arabic" w:cs="Simplified Arabic"/>
          <w:sz w:val="28"/>
          <w:szCs w:val="28"/>
          <w:rtl/>
          <w:lang w:bidi="ar-IQ"/>
        </w:rPr>
        <w:t>أ</w:t>
      </w:r>
      <w:r w:rsidR="00595332" w:rsidRPr="000335D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فكار تحتاج </w:t>
      </w:r>
      <w:r w:rsidR="00603B8D" w:rsidRPr="000335DA">
        <w:rPr>
          <w:rFonts w:ascii="Simplified Arabic" w:hAnsi="Simplified Arabic" w:cs="Simplified Arabic"/>
          <w:sz w:val="28"/>
          <w:szCs w:val="28"/>
          <w:rtl/>
          <w:lang w:bidi="ar-IQ"/>
        </w:rPr>
        <w:t>إ</w:t>
      </w:r>
      <w:r w:rsidR="00595332" w:rsidRPr="000335D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لى قدرات عقلية عالية وكذلك ممارسة </w:t>
      </w:r>
      <w:r w:rsidR="00326F30" w:rsidRPr="000335D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عمليات </w:t>
      </w:r>
      <w:r w:rsidR="00424F47">
        <w:rPr>
          <w:rFonts w:ascii="Simplified Arabic" w:hAnsi="Simplified Arabic" w:cs="Simplified Arabic"/>
          <w:sz w:val="28"/>
          <w:szCs w:val="28"/>
          <w:rtl/>
          <w:lang w:bidi="ar-IQ"/>
        </w:rPr>
        <w:t>عقلية محددة مثل</w:t>
      </w:r>
      <w:r w:rsidR="00424F4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595332" w:rsidRPr="000335DA">
        <w:rPr>
          <w:rFonts w:ascii="Simplified Arabic" w:hAnsi="Simplified Arabic" w:cs="Simplified Arabic"/>
          <w:sz w:val="28"/>
          <w:szCs w:val="28"/>
          <w:rtl/>
          <w:lang w:bidi="ar-IQ"/>
        </w:rPr>
        <w:t>الملاحظة والتصنيف و</w:t>
      </w:r>
      <w:r w:rsidR="00AA7352" w:rsidRPr="000335DA">
        <w:rPr>
          <w:rFonts w:ascii="Simplified Arabic" w:hAnsi="Simplified Arabic" w:cs="Simplified Arabic"/>
          <w:sz w:val="28"/>
          <w:szCs w:val="28"/>
          <w:rtl/>
          <w:lang w:bidi="ar-IQ"/>
        </w:rPr>
        <w:t>الاستدلال</w:t>
      </w:r>
      <w:r w:rsidR="000F411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الاساسية</w:t>
      </w:r>
      <w:r w:rsidR="00603B8D" w:rsidRPr="000335DA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432891" w:rsidRPr="007A7D9E" w:rsidRDefault="007A7D9E" w:rsidP="007A7D9E">
      <w:pPr>
        <w:pStyle w:val="a3"/>
        <w:numPr>
          <w:ilvl w:val="0"/>
          <w:numId w:val="20"/>
        </w:numPr>
        <w:tabs>
          <w:tab w:val="left" w:pos="282"/>
        </w:tabs>
        <w:ind w:left="282" w:hanging="283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A7D9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595332" w:rsidRPr="007A7D9E">
        <w:rPr>
          <w:rFonts w:ascii="Simplified Arabic" w:hAnsi="Simplified Arabic" w:cs="Simplified Arabic"/>
          <w:sz w:val="28"/>
          <w:szCs w:val="28"/>
          <w:rtl/>
          <w:lang w:bidi="ar-IQ"/>
        </w:rPr>
        <w:t>ن</w:t>
      </w:r>
      <w:r w:rsidR="00603B8D" w:rsidRPr="007A7D9E">
        <w:rPr>
          <w:rFonts w:ascii="Simplified Arabic" w:hAnsi="Simplified Arabic" w:cs="Simplified Arabic"/>
          <w:sz w:val="28"/>
          <w:szCs w:val="28"/>
          <w:rtl/>
          <w:lang w:bidi="ar-IQ"/>
        </w:rPr>
        <w:t>َّ</w:t>
      </w:r>
      <w:r w:rsidR="0057593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تفوق تلاميذ هذه الاستراتيجية </w:t>
      </w:r>
      <w:r w:rsidR="00595332" w:rsidRPr="007A7D9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يعود إلى </w:t>
      </w:r>
      <w:r w:rsidR="007A2480" w:rsidRPr="007A7D9E">
        <w:rPr>
          <w:rFonts w:ascii="Simplified Arabic" w:hAnsi="Simplified Arabic" w:cs="Simplified Arabic"/>
          <w:sz w:val="28"/>
          <w:szCs w:val="28"/>
          <w:rtl/>
          <w:lang w:bidi="ar-IQ"/>
        </w:rPr>
        <w:t>أ</w:t>
      </w:r>
      <w:r w:rsidR="00595332" w:rsidRPr="007A7D9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نهم </w:t>
      </w:r>
      <w:r w:rsidR="007A2480" w:rsidRPr="007A7D9E">
        <w:rPr>
          <w:rFonts w:ascii="Simplified Arabic" w:hAnsi="Simplified Arabic" w:cs="Simplified Arabic"/>
          <w:sz w:val="28"/>
          <w:szCs w:val="28"/>
          <w:rtl/>
          <w:lang w:bidi="ar-IQ"/>
        </w:rPr>
        <w:t>أ</w:t>
      </w:r>
      <w:r w:rsidR="00595332" w:rsidRPr="007A7D9E">
        <w:rPr>
          <w:rFonts w:ascii="Simplified Arabic" w:hAnsi="Simplified Arabic" w:cs="Simplified Arabic"/>
          <w:sz w:val="28"/>
          <w:szCs w:val="28"/>
          <w:rtl/>
          <w:lang w:bidi="ar-IQ"/>
        </w:rPr>
        <w:t>كثر نشاطاً و</w:t>
      </w:r>
      <w:r w:rsidR="007A2480" w:rsidRPr="007A7D9E">
        <w:rPr>
          <w:rFonts w:ascii="Simplified Arabic" w:hAnsi="Simplified Arabic" w:cs="Simplified Arabic"/>
          <w:sz w:val="28"/>
          <w:szCs w:val="28"/>
          <w:rtl/>
          <w:lang w:bidi="ar-IQ"/>
        </w:rPr>
        <w:t>إ</w:t>
      </w:r>
      <w:r w:rsidR="00595332" w:rsidRPr="007A7D9E">
        <w:rPr>
          <w:rFonts w:ascii="Simplified Arabic" w:hAnsi="Simplified Arabic" w:cs="Simplified Arabic"/>
          <w:sz w:val="28"/>
          <w:szCs w:val="28"/>
          <w:rtl/>
          <w:lang w:bidi="ar-IQ"/>
        </w:rPr>
        <w:t>يجابية في عملية ال</w:t>
      </w:r>
      <w:r w:rsidR="00AA7352" w:rsidRPr="007A7D9E">
        <w:rPr>
          <w:rFonts w:ascii="Simplified Arabic" w:hAnsi="Simplified Arabic" w:cs="Simplified Arabic"/>
          <w:sz w:val="28"/>
          <w:szCs w:val="28"/>
          <w:rtl/>
          <w:lang w:bidi="ar-IQ"/>
        </w:rPr>
        <w:t>تعلم من تلاميذ المجموعة الضابطة</w:t>
      </w:r>
      <w:r w:rsidR="00595332" w:rsidRPr="007A7D9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من خلال التدريب على ممارسة عمليات العلم </w:t>
      </w:r>
      <w:r w:rsidR="00AA7352" w:rsidRPr="007A7D9E">
        <w:rPr>
          <w:rFonts w:ascii="Simplified Arabic" w:hAnsi="Simplified Arabic" w:cs="Simplified Arabic"/>
          <w:sz w:val="28"/>
          <w:szCs w:val="28"/>
          <w:rtl/>
          <w:lang w:bidi="ar-IQ"/>
        </w:rPr>
        <w:t>إ</w:t>
      </w:r>
      <w:r w:rsidR="00595332" w:rsidRPr="007A7D9E">
        <w:rPr>
          <w:rFonts w:ascii="Simplified Arabic" w:hAnsi="Simplified Arabic" w:cs="Simplified Arabic"/>
          <w:sz w:val="28"/>
          <w:szCs w:val="28"/>
          <w:rtl/>
          <w:lang w:bidi="ar-IQ"/>
        </w:rPr>
        <w:t>ذ لاحظ الباحث تفاعل تلاميذ المجموعة التجر</w:t>
      </w:r>
      <w:r w:rsidR="00AA7352" w:rsidRPr="007A7D9E">
        <w:rPr>
          <w:rFonts w:ascii="Simplified Arabic" w:hAnsi="Simplified Arabic" w:cs="Simplified Arabic"/>
          <w:sz w:val="28"/>
          <w:szCs w:val="28"/>
          <w:rtl/>
          <w:lang w:bidi="ar-IQ"/>
        </w:rPr>
        <w:t>يبية بحماس ورغبة داخل غرفة الصف</w:t>
      </w:r>
      <w:r w:rsidR="00595332" w:rsidRPr="007A7D9E">
        <w:rPr>
          <w:rFonts w:ascii="Simplified Arabic" w:hAnsi="Simplified Arabic" w:cs="Simplified Arabic"/>
          <w:sz w:val="28"/>
          <w:szCs w:val="28"/>
          <w:rtl/>
          <w:lang w:bidi="ar-IQ"/>
        </w:rPr>
        <w:t>، وقد يكون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595332" w:rsidRPr="007A7D9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لهذه سبب في زيادة اكتساب تلاميذ المجموعة التجريبية لعمليات العلم وتفوقهم على تلاميذ المجموعة الضابطة في مادة </w:t>
      </w:r>
      <w:r w:rsidR="00AA7352" w:rsidRPr="007A7D9E">
        <w:rPr>
          <w:rFonts w:ascii="Simplified Arabic" w:hAnsi="Simplified Arabic" w:cs="Simplified Arabic"/>
          <w:sz w:val="28"/>
          <w:szCs w:val="28"/>
          <w:rtl/>
          <w:lang w:bidi="ar-IQ"/>
        </w:rPr>
        <w:t>قواعد اللغة العربية</w:t>
      </w:r>
      <w:r w:rsidR="0071265D" w:rsidRPr="007A7D9E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424F47" w:rsidRDefault="001927C9" w:rsidP="00424F47">
      <w:pPr>
        <w:tabs>
          <w:tab w:val="left" w:pos="270"/>
        </w:tabs>
        <w:spacing w:after="0"/>
        <w:jc w:val="lowKashida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C0426E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ثالثاً: </w:t>
      </w:r>
      <w:proofErr w:type="spellStart"/>
      <w:r w:rsidRPr="00C0426E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الإ</w:t>
      </w:r>
      <w:r w:rsidR="00AA7352" w:rsidRPr="00C0426E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ستنتاجات</w:t>
      </w:r>
      <w:proofErr w:type="spellEnd"/>
      <w:r w:rsidR="00883251" w:rsidRPr="00C0426E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:</w:t>
      </w:r>
      <w:r w:rsidR="00E57426" w:rsidRPr="00C0426E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</w:p>
    <w:p w:rsidR="00505F19" w:rsidRPr="00C0426E" w:rsidRDefault="00E57426" w:rsidP="00424F47">
      <w:pPr>
        <w:tabs>
          <w:tab w:val="left" w:pos="270"/>
        </w:tabs>
        <w:spacing w:after="0"/>
        <w:jc w:val="lowKashida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C0426E">
        <w:rPr>
          <w:rFonts w:ascii="Simplified Arabic" w:eastAsia="Times New Roman" w:hAnsi="Simplified Arabic" w:cs="Simplified Arabic"/>
          <w:sz w:val="28"/>
          <w:szCs w:val="28"/>
          <w:rtl/>
        </w:rPr>
        <w:t>وبناءً على هذه النتيجة, أستنتج الباحث ما يأتي:-</w:t>
      </w:r>
    </w:p>
    <w:p w:rsidR="00424F47" w:rsidRDefault="003249F0" w:rsidP="00424F47">
      <w:pPr>
        <w:pStyle w:val="a3"/>
        <w:numPr>
          <w:ilvl w:val="0"/>
          <w:numId w:val="21"/>
        </w:numPr>
        <w:tabs>
          <w:tab w:val="left" w:pos="282"/>
          <w:tab w:val="left" w:pos="424"/>
        </w:tabs>
        <w:spacing w:after="0"/>
        <w:ind w:left="282" w:hanging="283"/>
        <w:jc w:val="lowKashida"/>
        <w:rPr>
          <w:rFonts w:ascii="Simplified Arabic" w:eastAsia="Times New Roman" w:hAnsi="Simplified Arabic" w:cs="Simplified Arabic"/>
          <w:sz w:val="28"/>
          <w:szCs w:val="28"/>
        </w:rPr>
      </w:pPr>
      <w:r w:rsidRPr="00424F47">
        <w:rPr>
          <w:rFonts w:ascii="Simplified Arabic" w:eastAsia="Times New Roman" w:hAnsi="Simplified Arabic" w:cs="Simplified Arabic"/>
          <w:sz w:val="28"/>
          <w:szCs w:val="28"/>
          <w:rtl/>
        </w:rPr>
        <w:t>أثبتت استراتيجية دورة التعلم السباعية فاعليتها في جعل تلاميذ محور العملية التعليمية وفي التحصيل وعمليات العلم.</w:t>
      </w:r>
    </w:p>
    <w:p w:rsidR="00424F47" w:rsidRDefault="003249F0" w:rsidP="00575939">
      <w:pPr>
        <w:pStyle w:val="a3"/>
        <w:numPr>
          <w:ilvl w:val="0"/>
          <w:numId w:val="21"/>
        </w:numPr>
        <w:tabs>
          <w:tab w:val="left" w:pos="282"/>
          <w:tab w:val="left" w:pos="424"/>
        </w:tabs>
        <w:spacing w:after="0"/>
        <w:ind w:left="282" w:hanging="283"/>
        <w:jc w:val="lowKashida"/>
        <w:rPr>
          <w:rFonts w:ascii="Simplified Arabic" w:eastAsia="Times New Roman" w:hAnsi="Simplified Arabic" w:cs="Simplified Arabic"/>
          <w:sz w:val="28"/>
          <w:szCs w:val="28"/>
        </w:rPr>
      </w:pPr>
      <w:r w:rsidRPr="00424F47">
        <w:rPr>
          <w:rFonts w:ascii="Simplified Arabic" w:eastAsia="Times New Roman" w:hAnsi="Simplified Arabic" w:cs="Simplified Arabic"/>
          <w:sz w:val="28"/>
          <w:szCs w:val="28"/>
          <w:rtl/>
        </w:rPr>
        <w:t>ملا</w:t>
      </w:r>
      <w:r w:rsidR="00575939">
        <w:rPr>
          <w:rFonts w:ascii="Simplified Arabic" w:eastAsia="Times New Roman" w:hAnsi="Simplified Arabic" w:cs="Simplified Arabic" w:hint="cs"/>
          <w:sz w:val="28"/>
          <w:szCs w:val="28"/>
          <w:rtl/>
        </w:rPr>
        <w:t>ئ</w:t>
      </w:r>
      <w:r w:rsidRPr="00424F47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مة </w:t>
      </w:r>
      <w:proofErr w:type="spellStart"/>
      <w:r w:rsidR="00603B8D" w:rsidRPr="00424F47">
        <w:rPr>
          <w:rFonts w:ascii="Simplified Arabic" w:eastAsia="Times New Roman" w:hAnsi="Simplified Arabic" w:cs="Simplified Arabic"/>
          <w:sz w:val="28"/>
          <w:szCs w:val="28"/>
          <w:rtl/>
        </w:rPr>
        <w:t>إ</w:t>
      </w:r>
      <w:r w:rsidRPr="00424F47">
        <w:rPr>
          <w:rFonts w:ascii="Simplified Arabic" w:eastAsia="Times New Roman" w:hAnsi="Simplified Arabic" w:cs="Simplified Arabic"/>
          <w:sz w:val="28"/>
          <w:szCs w:val="28"/>
          <w:rtl/>
        </w:rPr>
        <w:t>ستراتيجية</w:t>
      </w:r>
      <w:proofErr w:type="spellEnd"/>
      <w:r w:rsidRPr="00424F47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دورة التعلم السباعية مادة قواعد اللغة العربية للصف الخامس الابتدائي.</w:t>
      </w:r>
    </w:p>
    <w:p w:rsidR="00424F47" w:rsidRDefault="00AA7352" w:rsidP="00575939">
      <w:pPr>
        <w:pStyle w:val="a3"/>
        <w:numPr>
          <w:ilvl w:val="0"/>
          <w:numId w:val="21"/>
        </w:numPr>
        <w:tabs>
          <w:tab w:val="left" w:pos="282"/>
          <w:tab w:val="left" w:pos="424"/>
        </w:tabs>
        <w:spacing w:after="0"/>
        <w:ind w:left="282" w:hanging="283"/>
        <w:jc w:val="lowKashida"/>
        <w:rPr>
          <w:rFonts w:ascii="Simplified Arabic" w:eastAsia="Times New Roman" w:hAnsi="Simplified Arabic" w:cs="Simplified Arabic"/>
          <w:sz w:val="28"/>
          <w:szCs w:val="28"/>
        </w:rPr>
      </w:pPr>
      <w:r w:rsidRPr="00424F47">
        <w:rPr>
          <w:rFonts w:ascii="Simplified Arabic" w:eastAsia="Times New Roman" w:hAnsi="Simplified Arabic" w:cs="Simplified Arabic"/>
          <w:sz w:val="28"/>
          <w:szCs w:val="28"/>
          <w:rtl/>
        </w:rPr>
        <w:t>ملا</w:t>
      </w:r>
      <w:r w:rsidR="00575939">
        <w:rPr>
          <w:rFonts w:ascii="Simplified Arabic" w:eastAsia="Times New Roman" w:hAnsi="Simplified Arabic" w:cs="Simplified Arabic" w:hint="cs"/>
          <w:sz w:val="28"/>
          <w:szCs w:val="28"/>
          <w:rtl/>
        </w:rPr>
        <w:t>ئ</w:t>
      </w:r>
      <w:r w:rsidRPr="00424F47">
        <w:rPr>
          <w:rFonts w:ascii="Simplified Arabic" w:eastAsia="Times New Roman" w:hAnsi="Simplified Arabic" w:cs="Simplified Arabic"/>
          <w:sz w:val="28"/>
          <w:szCs w:val="28"/>
          <w:rtl/>
        </w:rPr>
        <w:t>مة عمليات العلم</w:t>
      </w:r>
      <w:r w:rsidR="00FA28FD" w:rsidRPr="00424F47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في مادة قواعد اللغة العربية</w:t>
      </w:r>
      <w:r w:rsidRPr="00424F47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لتلاميذ الصف الخامس الابتدائي</w:t>
      </w:r>
      <w:r w:rsidR="00FA28FD" w:rsidRPr="00424F47">
        <w:rPr>
          <w:rFonts w:ascii="Simplified Arabic" w:eastAsia="Times New Roman" w:hAnsi="Simplified Arabic" w:cs="Simplified Arabic"/>
          <w:sz w:val="28"/>
          <w:szCs w:val="28"/>
          <w:rtl/>
        </w:rPr>
        <w:t>.</w:t>
      </w:r>
    </w:p>
    <w:p w:rsidR="00424F47" w:rsidRDefault="00883251" w:rsidP="00424F47">
      <w:pPr>
        <w:pStyle w:val="a3"/>
        <w:numPr>
          <w:ilvl w:val="0"/>
          <w:numId w:val="21"/>
        </w:numPr>
        <w:tabs>
          <w:tab w:val="left" w:pos="282"/>
          <w:tab w:val="left" w:pos="424"/>
        </w:tabs>
        <w:spacing w:after="0"/>
        <w:ind w:left="282" w:hanging="283"/>
        <w:jc w:val="lowKashida"/>
        <w:rPr>
          <w:rFonts w:ascii="Simplified Arabic" w:eastAsia="Times New Roman" w:hAnsi="Simplified Arabic" w:cs="Simplified Arabic"/>
          <w:sz w:val="28"/>
          <w:szCs w:val="28"/>
        </w:rPr>
      </w:pPr>
      <w:r w:rsidRPr="00424F47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وازنت </w:t>
      </w:r>
      <w:proofErr w:type="spellStart"/>
      <w:r w:rsidR="001927C9" w:rsidRPr="00424F47">
        <w:rPr>
          <w:rFonts w:ascii="Simplified Arabic" w:eastAsia="Times New Roman" w:hAnsi="Simplified Arabic" w:cs="Simplified Arabic"/>
          <w:sz w:val="28"/>
          <w:szCs w:val="28"/>
          <w:rtl/>
        </w:rPr>
        <w:t>إ</w:t>
      </w:r>
      <w:r w:rsidRPr="00424F47">
        <w:rPr>
          <w:rFonts w:ascii="Simplified Arabic" w:eastAsia="Times New Roman" w:hAnsi="Simplified Arabic" w:cs="Simplified Arabic"/>
          <w:sz w:val="28"/>
          <w:szCs w:val="28"/>
          <w:rtl/>
        </w:rPr>
        <w:t>ستراتيجية</w:t>
      </w:r>
      <w:proofErr w:type="spellEnd"/>
      <w:r w:rsidR="001927C9" w:rsidRPr="00424F47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="009424EB" w:rsidRPr="00424F47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دورة التعلم السباعية </w:t>
      </w:r>
      <w:r w:rsidRPr="00424F47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بين المعلومات المخزونة في الذاكرة, والمعلومات الجديدة </w:t>
      </w:r>
      <w:r w:rsidR="009C49BB" w:rsidRPr="00424F47">
        <w:rPr>
          <w:rFonts w:ascii="Simplified Arabic" w:eastAsia="Times New Roman" w:hAnsi="Simplified Arabic" w:cs="Simplified Arabic"/>
          <w:sz w:val="28"/>
          <w:szCs w:val="28"/>
          <w:rtl/>
        </w:rPr>
        <w:t>التي يتحصلون عليها وتوحيدها نحو ا</w:t>
      </w:r>
      <w:r w:rsidR="00AA7352" w:rsidRPr="00424F47">
        <w:rPr>
          <w:rFonts w:ascii="Simplified Arabic" w:eastAsia="Times New Roman" w:hAnsi="Simplified Arabic" w:cs="Simplified Arabic"/>
          <w:sz w:val="28"/>
          <w:szCs w:val="28"/>
          <w:rtl/>
        </w:rPr>
        <w:t>لتفكير بالموضوع الذي يتم دراسته</w:t>
      </w:r>
      <w:r w:rsidRPr="00424F47">
        <w:rPr>
          <w:rFonts w:ascii="Simplified Arabic" w:eastAsia="Times New Roman" w:hAnsi="Simplified Arabic" w:cs="Simplified Arabic"/>
          <w:sz w:val="28"/>
          <w:szCs w:val="28"/>
          <w:rtl/>
        </w:rPr>
        <w:t>.</w:t>
      </w:r>
      <w:r w:rsidR="000E1657" w:rsidRPr="00424F47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</w:p>
    <w:p w:rsidR="003A0974" w:rsidRPr="003A0974" w:rsidRDefault="009424EB" w:rsidP="00424F47">
      <w:pPr>
        <w:pStyle w:val="a3"/>
        <w:numPr>
          <w:ilvl w:val="0"/>
          <w:numId w:val="21"/>
        </w:numPr>
        <w:tabs>
          <w:tab w:val="left" w:pos="282"/>
          <w:tab w:val="left" w:pos="424"/>
        </w:tabs>
        <w:spacing w:after="0"/>
        <w:ind w:left="282" w:hanging="283"/>
        <w:jc w:val="lowKashida"/>
        <w:rPr>
          <w:rFonts w:ascii="Simplified Arabic" w:eastAsia="Times New Roman" w:hAnsi="Simplified Arabic" w:cs="Simplified Arabic"/>
          <w:sz w:val="28"/>
          <w:szCs w:val="28"/>
        </w:rPr>
      </w:pPr>
      <w:r w:rsidRPr="00424F47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أن تطبيق خطوات </w:t>
      </w:r>
      <w:proofErr w:type="spellStart"/>
      <w:r w:rsidR="00603B8D" w:rsidRPr="00424F47">
        <w:rPr>
          <w:rFonts w:ascii="Simplified Arabic" w:eastAsia="Times New Roman" w:hAnsi="Simplified Arabic" w:cs="Simplified Arabic"/>
          <w:sz w:val="28"/>
          <w:szCs w:val="28"/>
          <w:rtl/>
        </w:rPr>
        <w:t>إ</w:t>
      </w:r>
      <w:r w:rsidRPr="00424F47">
        <w:rPr>
          <w:rFonts w:ascii="Simplified Arabic" w:eastAsia="Times New Roman" w:hAnsi="Simplified Arabic" w:cs="Simplified Arabic"/>
          <w:sz w:val="28"/>
          <w:szCs w:val="28"/>
          <w:rtl/>
        </w:rPr>
        <w:t>ستراتيجية</w:t>
      </w:r>
      <w:proofErr w:type="spellEnd"/>
      <w:r w:rsidRPr="00424F47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دورة التعلم السباعية أثارت في نفوس تلاميذ الحيوية والتعاون وحب المشاركة في ال</w:t>
      </w:r>
      <w:r w:rsidR="005B58DA" w:rsidRPr="00424F47">
        <w:rPr>
          <w:rFonts w:ascii="Simplified Arabic" w:eastAsia="Times New Roman" w:hAnsi="Simplified Arabic" w:cs="Simplified Arabic"/>
          <w:sz w:val="28"/>
          <w:szCs w:val="28"/>
          <w:rtl/>
        </w:rPr>
        <w:t>درس مقارنة بالطريقة الاستقرائية</w:t>
      </w:r>
      <w:r w:rsidR="00956D15" w:rsidRPr="00424F47">
        <w:rPr>
          <w:rFonts w:ascii="Simplified Arabic" w:eastAsia="Times New Roman" w:hAnsi="Simplified Arabic" w:cs="Simplified Arabic"/>
          <w:sz w:val="28"/>
          <w:szCs w:val="28"/>
          <w:rtl/>
        </w:rPr>
        <w:t>, مما أدى إلى رفع مستوى التلا</w:t>
      </w:r>
      <w:r w:rsidR="00AA7352" w:rsidRPr="00424F47">
        <w:rPr>
          <w:rFonts w:ascii="Simplified Arabic" w:eastAsia="Times New Roman" w:hAnsi="Simplified Arabic" w:cs="Simplified Arabic"/>
          <w:sz w:val="28"/>
          <w:szCs w:val="28"/>
          <w:rtl/>
        </w:rPr>
        <w:t>ميذ  في اكتسابهم للعمليات العلم</w:t>
      </w:r>
      <w:r w:rsidR="00956D15" w:rsidRPr="00424F47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3A0974" w:rsidRDefault="003A0974" w:rsidP="003A0974">
      <w:pPr>
        <w:tabs>
          <w:tab w:val="left" w:pos="282"/>
          <w:tab w:val="left" w:pos="424"/>
        </w:tabs>
        <w:spacing w:after="0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3A0974" w:rsidRDefault="003A0974" w:rsidP="003A0974">
      <w:pPr>
        <w:tabs>
          <w:tab w:val="left" w:pos="282"/>
          <w:tab w:val="left" w:pos="424"/>
        </w:tabs>
        <w:spacing w:after="0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3A0974" w:rsidRDefault="003A0974" w:rsidP="003A0974">
      <w:pPr>
        <w:tabs>
          <w:tab w:val="left" w:pos="282"/>
          <w:tab w:val="left" w:pos="424"/>
        </w:tabs>
        <w:spacing w:after="0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3A0974" w:rsidRDefault="003A0974" w:rsidP="003A0974">
      <w:pPr>
        <w:tabs>
          <w:tab w:val="left" w:pos="282"/>
          <w:tab w:val="left" w:pos="424"/>
        </w:tabs>
        <w:spacing w:after="0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D45DDE" w:rsidRPr="003A0974" w:rsidRDefault="00956D15" w:rsidP="003A0974">
      <w:pPr>
        <w:tabs>
          <w:tab w:val="left" w:pos="282"/>
          <w:tab w:val="left" w:pos="424"/>
        </w:tabs>
        <w:spacing w:after="0"/>
        <w:jc w:val="lowKashida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3A097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883251" w:rsidRPr="00C0426E" w:rsidRDefault="00883251" w:rsidP="00C0426E">
      <w:pPr>
        <w:tabs>
          <w:tab w:val="left" w:pos="424"/>
        </w:tabs>
        <w:spacing w:after="0"/>
        <w:ind w:left="-1"/>
        <w:jc w:val="lowKashida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C0426E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lastRenderedPageBreak/>
        <w:t>رابعاً :التوصيات</w:t>
      </w:r>
      <w:r w:rsidR="0042174B" w:rsidRPr="00C0426E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:</w:t>
      </w:r>
      <w:r w:rsidRPr="00C0426E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 </w:t>
      </w:r>
    </w:p>
    <w:p w:rsidR="00416DD1" w:rsidRPr="00C0426E" w:rsidRDefault="00883251" w:rsidP="00424F47">
      <w:pPr>
        <w:tabs>
          <w:tab w:val="left" w:pos="424"/>
        </w:tabs>
        <w:spacing w:after="0"/>
        <w:jc w:val="lowKashida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C0426E">
        <w:rPr>
          <w:rFonts w:ascii="Simplified Arabic" w:eastAsia="Times New Roman" w:hAnsi="Simplified Arabic" w:cs="Simplified Arabic"/>
          <w:sz w:val="28"/>
          <w:szCs w:val="28"/>
          <w:rtl/>
        </w:rPr>
        <w:t>وبن</w:t>
      </w:r>
      <w:r w:rsidR="00AA7352" w:rsidRPr="00C0426E">
        <w:rPr>
          <w:rFonts w:ascii="Simplified Arabic" w:eastAsia="Times New Roman" w:hAnsi="Simplified Arabic" w:cs="Simplified Arabic"/>
          <w:sz w:val="28"/>
          <w:szCs w:val="28"/>
          <w:rtl/>
        </w:rPr>
        <w:t>اء</w:t>
      </w:r>
      <w:r w:rsidR="00575939">
        <w:rPr>
          <w:rFonts w:ascii="Simplified Arabic" w:eastAsia="Times New Roman" w:hAnsi="Simplified Arabic" w:cs="Simplified Arabic" w:hint="cs"/>
          <w:sz w:val="28"/>
          <w:szCs w:val="28"/>
          <w:rtl/>
        </w:rPr>
        <w:t>ً</w:t>
      </w:r>
      <w:r w:rsidR="00AA7352" w:rsidRPr="00C0426E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على ذلك أوصى الباحث ما يأتي:</w:t>
      </w:r>
    </w:p>
    <w:p w:rsidR="00424F47" w:rsidRDefault="00416DD1" w:rsidP="00C61BA0">
      <w:pPr>
        <w:pStyle w:val="a3"/>
        <w:numPr>
          <w:ilvl w:val="0"/>
          <w:numId w:val="22"/>
        </w:numPr>
        <w:tabs>
          <w:tab w:val="left" w:pos="424"/>
        </w:tabs>
        <w:spacing w:after="0"/>
        <w:ind w:left="424" w:hanging="425"/>
        <w:jc w:val="lowKashida"/>
        <w:rPr>
          <w:rFonts w:ascii="Simplified Arabic" w:eastAsia="Times New Roman" w:hAnsi="Simplified Arabic" w:cs="Simplified Arabic"/>
          <w:sz w:val="28"/>
          <w:szCs w:val="28"/>
        </w:rPr>
      </w:pPr>
      <w:r w:rsidRPr="00424F47">
        <w:rPr>
          <w:rFonts w:ascii="Simplified Arabic" w:eastAsia="Times New Roman" w:hAnsi="Simplified Arabic" w:cs="Simplified Arabic"/>
          <w:sz w:val="28"/>
          <w:szCs w:val="28"/>
          <w:rtl/>
        </w:rPr>
        <w:t>ضرورة أن تتضمن</w:t>
      </w:r>
      <w:r w:rsidR="0057593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مناهج طرائق تدريس اللغة المقرر</w:t>
      </w:r>
      <w:r w:rsidR="00575939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  <w:r w:rsidRPr="00424F47">
        <w:rPr>
          <w:rFonts w:ascii="Simplified Arabic" w:eastAsia="Times New Roman" w:hAnsi="Simplified Arabic" w:cs="Simplified Arabic"/>
          <w:sz w:val="28"/>
          <w:szCs w:val="28"/>
          <w:rtl/>
        </w:rPr>
        <w:t>تدريسها لطلاب كليات التربية والتربية ال</w:t>
      </w:r>
      <w:r w:rsidR="0071265D" w:rsidRPr="00424F47">
        <w:rPr>
          <w:rFonts w:ascii="Simplified Arabic" w:eastAsia="Times New Roman" w:hAnsi="Simplified Arabic" w:cs="Simplified Arabic"/>
          <w:sz w:val="28"/>
          <w:szCs w:val="28"/>
          <w:rtl/>
        </w:rPr>
        <w:t>أ</w:t>
      </w:r>
      <w:r w:rsidRPr="00424F47">
        <w:rPr>
          <w:rFonts w:ascii="Simplified Arabic" w:eastAsia="Times New Roman" w:hAnsi="Simplified Arabic" w:cs="Simplified Arabic"/>
          <w:sz w:val="28"/>
          <w:szCs w:val="28"/>
          <w:rtl/>
        </w:rPr>
        <w:t>ساسية للنماذج والاستراتيجيات وطرائق ال</w:t>
      </w:r>
      <w:r w:rsidR="0071265D" w:rsidRPr="00424F47">
        <w:rPr>
          <w:rFonts w:ascii="Simplified Arabic" w:eastAsia="Times New Roman" w:hAnsi="Simplified Arabic" w:cs="Simplified Arabic"/>
          <w:sz w:val="28"/>
          <w:szCs w:val="28"/>
          <w:rtl/>
        </w:rPr>
        <w:t>أ</w:t>
      </w:r>
      <w:r w:rsidRPr="00424F47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ساليب الحديثة في التدريس التي </w:t>
      </w:r>
      <w:r w:rsidR="00603B8D" w:rsidRPr="00424F47">
        <w:rPr>
          <w:rFonts w:ascii="Simplified Arabic" w:eastAsia="Times New Roman" w:hAnsi="Simplified Arabic" w:cs="Simplified Arabic"/>
          <w:sz w:val="28"/>
          <w:szCs w:val="28"/>
          <w:rtl/>
        </w:rPr>
        <w:t>أ</w:t>
      </w:r>
      <w:r w:rsidRPr="00424F47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ثبتت فاعليتها ومنها </w:t>
      </w:r>
      <w:proofErr w:type="spellStart"/>
      <w:r w:rsidR="0071265D" w:rsidRPr="00424F47">
        <w:rPr>
          <w:rFonts w:ascii="Simplified Arabic" w:eastAsia="Times New Roman" w:hAnsi="Simplified Arabic" w:cs="Simplified Arabic"/>
          <w:sz w:val="28"/>
          <w:szCs w:val="28"/>
          <w:rtl/>
        </w:rPr>
        <w:t>إ</w:t>
      </w:r>
      <w:r w:rsidRPr="00424F47">
        <w:rPr>
          <w:rFonts w:ascii="Simplified Arabic" w:eastAsia="Times New Roman" w:hAnsi="Simplified Arabic" w:cs="Simplified Arabic"/>
          <w:sz w:val="28"/>
          <w:szCs w:val="28"/>
          <w:rtl/>
        </w:rPr>
        <w:t>ستراتيجية</w:t>
      </w:r>
      <w:proofErr w:type="spellEnd"/>
      <w:r w:rsidRPr="00424F47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دورة التعلم السباعية.</w:t>
      </w:r>
    </w:p>
    <w:p w:rsidR="00424F47" w:rsidRDefault="0071265D" w:rsidP="00424F47">
      <w:pPr>
        <w:pStyle w:val="a3"/>
        <w:numPr>
          <w:ilvl w:val="0"/>
          <w:numId w:val="22"/>
        </w:numPr>
        <w:tabs>
          <w:tab w:val="left" w:pos="424"/>
        </w:tabs>
        <w:spacing w:after="0"/>
        <w:ind w:left="424" w:hanging="425"/>
        <w:jc w:val="lowKashida"/>
        <w:rPr>
          <w:rFonts w:ascii="Simplified Arabic" w:eastAsia="Times New Roman" w:hAnsi="Simplified Arabic" w:cs="Simplified Arabic"/>
          <w:sz w:val="28"/>
          <w:szCs w:val="28"/>
        </w:rPr>
      </w:pPr>
      <w:proofErr w:type="spellStart"/>
      <w:r w:rsidRPr="00424F47">
        <w:rPr>
          <w:rFonts w:ascii="Simplified Arabic" w:eastAsia="Times New Roman" w:hAnsi="Simplified Arabic" w:cs="Simplified Arabic"/>
          <w:sz w:val="28"/>
          <w:szCs w:val="28"/>
          <w:rtl/>
        </w:rPr>
        <w:t>أ</w:t>
      </w:r>
      <w:r w:rsidR="00416DD1" w:rsidRPr="00424F47">
        <w:rPr>
          <w:rFonts w:ascii="Simplified Arabic" w:eastAsia="Times New Roman" w:hAnsi="Simplified Arabic" w:cs="Simplified Arabic"/>
          <w:sz w:val="28"/>
          <w:szCs w:val="28"/>
          <w:rtl/>
        </w:rPr>
        <w:t>عتماد</w:t>
      </w:r>
      <w:proofErr w:type="spellEnd"/>
      <w:r w:rsidR="00416DD1" w:rsidRPr="00424F47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proofErr w:type="spellStart"/>
      <w:r w:rsidRPr="00424F47">
        <w:rPr>
          <w:rFonts w:ascii="Simplified Arabic" w:eastAsia="Times New Roman" w:hAnsi="Simplified Arabic" w:cs="Simplified Arabic"/>
          <w:sz w:val="28"/>
          <w:szCs w:val="28"/>
          <w:rtl/>
        </w:rPr>
        <w:t>إ</w:t>
      </w:r>
      <w:r w:rsidR="00416DD1" w:rsidRPr="00424F47">
        <w:rPr>
          <w:rFonts w:ascii="Simplified Arabic" w:eastAsia="Times New Roman" w:hAnsi="Simplified Arabic" w:cs="Simplified Arabic"/>
          <w:sz w:val="28"/>
          <w:szCs w:val="28"/>
          <w:rtl/>
        </w:rPr>
        <w:t>ستراتيجية</w:t>
      </w:r>
      <w:proofErr w:type="spellEnd"/>
      <w:r w:rsidR="00416DD1" w:rsidRPr="00424F47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دورة التعلم السباع</w:t>
      </w:r>
      <w:r w:rsidR="00AA7352" w:rsidRPr="00424F47">
        <w:rPr>
          <w:rFonts w:ascii="Simplified Arabic" w:eastAsia="Times New Roman" w:hAnsi="Simplified Arabic" w:cs="Simplified Arabic"/>
          <w:sz w:val="28"/>
          <w:szCs w:val="28"/>
          <w:rtl/>
        </w:rPr>
        <w:t>ية في تدريس قواعد اللغة العربية</w:t>
      </w:r>
      <w:r w:rsidR="00416DD1" w:rsidRPr="00424F47">
        <w:rPr>
          <w:rFonts w:ascii="Simplified Arabic" w:eastAsia="Times New Roman" w:hAnsi="Simplified Arabic" w:cs="Simplified Arabic"/>
          <w:sz w:val="28"/>
          <w:szCs w:val="28"/>
          <w:rtl/>
        </w:rPr>
        <w:t>, وذلك لما توصلت له نتائج البحث الحالي من تأثير فعال لهذه الاستراتيجية في التحصيل وعمليات العلم.</w:t>
      </w:r>
    </w:p>
    <w:p w:rsidR="00424F47" w:rsidRDefault="00416DD1" w:rsidP="00424F47">
      <w:pPr>
        <w:pStyle w:val="a3"/>
        <w:numPr>
          <w:ilvl w:val="0"/>
          <w:numId w:val="22"/>
        </w:numPr>
        <w:tabs>
          <w:tab w:val="left" w:pos="424"/>
        </w:tabs>
        <w:spacing w:after="0"/>
        <w:ind w:left="424" w:hanging="425"/>
        <w:jc w:val="lowKashida"/>
        <w:rPr>
          <w:rFonts w:ascii="Simplified Arabic" w:eastAsia="Times New Roman" w:hAnsi="Simplified Arabic" w:cs="Simplified Arabic"/>
          <w:sz w:val="28"/>
          <w:szCs w:val="28"/>
        </w:rPr>
      </w:pPr>
      <w:r w:rsidRPr="00424F47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إقامة دورات تدريبية في طرائق التدريس لمعلمي اللغة العربية بشأن النماذج </w:t>
      </w:r>
      <w:proofErr w:type="spellStart"/>
      <w:r w:rsidRPr="00424F47">
        <w:rPr>
          <w:rFonts w:ascii="Simplified Arabic" w:eastAsia="Times New Roman" w:hAnsi="Simplified Arabic" w:cs="Simplified Arabic"/>
          <w:sz w:val="28"/>
          <w:szCs w:val="28"/>
          <w:rtl/>
        </w:rPr>
        <w:t>وال</w:t>
      </w:r>
      <w:r w:rsidR="0071265D" w:rsidRPr="00424F47">
        <w:rPr>
          <w:rFonts w:ascii="Simplified Arabic" w:eastAsia="Times New Roman" w:hAnsi="Simplified Arabic" w:cs="Simplified Arabic"/>
          <w:sz w:val="28"/>
          <w:szCs w:val="28"/>
          <w:rtl/>
        </w:rPr>
        <w:t>إ</w:t>
      </w:r>
      <w:r w:rsidRPr="00424F47">
        <w:rPr>
          <w:rFonts w:ascii="Simplified Arabic" w:eastAsia="Times New Roman" w:hAnsi="Simplified Arabic" w:cs="Simplified Arabic"/>
          <w:sz w:val="28"/>
          <w:szCs w:val="28"/>
          <w:rtl/>
        </w:rPr>
        <w:t>ستراتيجيات</w:t>
      </w:r>
      <w:proofErr w:type="spellEnd"/>
      <w:r w:rsidRPr="00424F47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التدريسية الحديثة ومنها </w:t>
      </w:r>
      <w:proofErr w:type="spellStart"/>
      <w:r w:rsidR="0071265D" w:rsidRPr="00424F47">
        <w:rPr>
          <w:rFonts w:ascii="Simplified Arabic" w:eastAsia="Times New Roman" w:hAnsi="Simplified Arabic" w:cs="Simplified Arabic"/>
          <w:sz w:val="28"/>
          <w:szCs w:val="28"/>
          <w:rtl/>
        </w:rPr>
        <w:t>إ</w:t>
      </w:r>
      <w:r w:rsidRPr="00424F47">
        <w:rPr>
          <w:rFonts w:ascii="Simplified Arabic" w:eastAsia="Times New Roman" w:hAnsi="Simplified Arabic" w:cs="Simplified Arabic"/>
          <w:sz w:val="28"/>
          <w:szCs w:val="28"/>
          <w:rtl/>
        </w:rPr>
        <w:t>ستراتيجية</w:t>
      </w:r>
      <w:proofErr w:type="spellEnd"/>
      <w:r w:rsidRPr="00424F47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دورة التعلم السباعية.</w:t>
      </w:r>
    </w:p>
    <w:p w:rsidR="001031CD" w:rsidRPr="00424F47" w:rsidRDefault="00416DD1" w:rsidP="00BB5E0C">
      <w:pPr>
        <w:pStyle w:val="a3"/>
        <w:numPr>
          <w:ilvl w:val="0"/>
          <w:numId w:val="22"/>
        </w:numPr>
        <w:tabs>
          <w:tab w:val="left" w:pos="424"/>
        </w:tabs>
        <w:spacing w:after="0"/>
        <w:ind w:left="424" w:hanging="425"/>
        <w:jc w:val="lowKashida"/>
        <w:rPr>
          <w:rFonts w:ascii="Simplified Arabic" w:eastAsia="Times New Roman" w:hAnsi="Simplified Arabic" w:cs="Simplified Arabic"/>
          <w:sz w:val="28"/>
          <w:szCs w:val="28"/>
        </w:rPr>
      </w:pPr>
      <w:r w:rsidRPr="00424F47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توجيه المعنيين بشؤون المناهج ومؤلفي الكتب المدرسية </w:t>
      </w:r>
      <w:r w:rsidR="00BB5E0C" w:rsidRPr="00424F47">
        <w:rPr>
          <w:rFonts w:ascii="Simplified Arabic" w:eastAsia="Times New Roman" w:hAnsi="Simplified Arabic" w:cs="Simplified Arabic" w:hint="cs"/>
          <w:sz w:val="28"/>
          <w:szCs w:val="28"/>
          <w:rtl/>
        </w:rPr>
        <w:t>للإ</w:t>
      </w:r>
      <w:r w:rsidR="00BB5E0C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فادة </w:t>
      </w:r>
      <w:r w:rsidRPr="00424F47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من </w:t>
      </w:r>
      <w:proofErr w:type="spellStart"/>
      <w:r w:rsidR="0071265D" w:rsidRPr="00424F47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إ</w:t>
      </w:r>
      <w:r w:rsidRPr="00424F47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ستراتيجية</w:t>
      </w:r>
      <w:proofErr w:type="spellEnd"/>
      <w:r w:rsidRPr="00424F47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دورة التعلم السباعية </w:t>
      </w:r>
      <w:r w:rsidRPr="00424F47">
        <w:rPr>
          <w:rFonts w:ascii="Simplified Arabic" w:eastAsia="Times New Roman" w:hAnsi="Simplified Arabic" w:cs="Simplified Arabic"/>
          <w:sz w:val="28"/>
          <w:szCs w:val="28"/>
          <w:rtl/>
        </w:rPr>
        <w:t>عند تأليف الكتب وعرض المحتوى العلمي ووضع دليل المعلم.</w:t>
      </w:r>
    </w:p>
    <w:p w:rsidR="00416DD1" w:rsidRPr="00C0426E" w:rsidRDefault="00416DD1" w:rsidP="00C0426E">
      <w:pPr>
        <w:tabs>
          <w:tab w:val="left" w:pos="424"/>
          <w:tab w:val="left" w:pos="849"/>
        </w:tabs>
        <w:spacing w:after="0"/>
        <w:contextualSpacing/>
        <w:jc w:val="lowKashida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C0426E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خامساً: المقترحات</w:t>
      </w:r>
      <w:r w:rsidRPr="00C0426E">
        <w:rPr>
          <w:rFonts w:ascii="Simplified Arabic" w:eastAsia="Times New Roman" w:hAnsi="Simplified Arabic" w:cs="Simplified Arabic"/>
          <w:sz w:val="28"/>
          <w:szCs w:val="28"/>
          <w:rtl/>
        </w:rPr>
        <w:t>:</w:t>
      </w:r>
    </w:p>
    <w:p w:rsidR="00416DD1" w:rsidRPr="00C0426E" w:rsidRDefault="00416DD1" w:rsidP="00424F47">
      <w:pPr>
        <w:tabs>
          <w:tab w:val="left" w:pos="424"/>
        </w:tabs>
        <w:spacing w:after="0"/>
        <w:jc w:val="lowKashida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C0426E">
        <w:rPr>
          <w:rFonts w:ascii="Simplified Arabic" w:eastAsia="Times New Roman" w:hAnsi="Simplified Arabic" w:cs="Simplified Arabic"/>
          <w:sz w:val="28"/>
          <w:szCs w:val="28"/>
          <w:rtl/>
        </w:rPr>
        <w:t>واقترح الباحث مقترحات منها:-</w:t>
      </w:r>
    </w:p>
    <w:p w:rsidR="00424F47" w:rsidRDefault="00416DD1" w:rsidP="00424F47">
      <w:pPr>
        <w:pStyle w:val="a3"/>
        <w:numPr>
          <w:ilvl w:val="0"/>
          <w:numId w:val="23"/>
        </w:numPr>
        <w:tabs>
          <w:tab w:val="left" w:pos="424"/>
        </w:tabs>
        <w:spacing w:after="0"/>
        <w:ind w:left="424" w:hanging="425"/>
        <w:jc w:val="lowKashida"/>
        <w:rPr>
          <w:rFonts w:ascii="Simplified Arabic" w:eastAsia="Times New Roman" w:hAnsi="Simplified Arabic" w:cs="Simplified Arabic"/>
          <w:sz w:val="28"/>
          <w:szCs w:val="28"/>
        </w:rPr>
      </w:pPr>
      <w:r w:rsidRPr="00424F47">
        <w:rPr>
          <w:rFonts w:ascii="Simplified Arabic" w:eastAsia="Times New Roman" w:hAnsi="Simplified Arabic" w:cs="Simplified Arabic"/>
          <w:sz w:val="28"/>
          <w:szCs w:val="28"/>
          <w:rtl/>
        </w:rPr>
        <w:t>إجرا</w:t>
      </w:r>
      <w:r w:rsidR="0057593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ء دراسة مماثلة للدراسة الحالية </w:t>
      </w:r>
      <w:r w:rsidRPr="00424F47">
        <w:rPr>
          <w:rFonts w:ascii="Simplified Arabic" w:eastAsia="Times New Roman" w:hAnsi="Simplified Arabic" w:cs="Simplified Arabic"/>
          <w:sz w:val="28"/>
          <w:szCs w:val="28"/>
          <w:rtl/>
        </w:rPr>
        <w:t>في موا</w:t>
      </w:r>
      <w:r w:rsidR="00C13005">
        <w:rPr>
          <w:rFonts w:ascii="Simplified Arabic" w:eastAsia="Times New Roman" w:hAnsi="Simplified Arabic" w:cs="Simplified Arabic"/>
          <w:sz w:val="28"/>
          <w:szCs w:val="28"/>
          <w:rtl/>
        </w:rPr>
        <w:t>د دراسية أخرى ومراحل دراسية غير</w:t>
      </w:r>
      <w:r w:rsidR="00C13005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  <w:r w:rsidRPr="00424F47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هذه المرحلة للتأكد من فاعلية هذه الاستراتيجية. </w:t>
      </w:r>
    </w:p>
    <w:p w:rsidR="00424F47" w:rsidRDefault="00416DD1" w:rsidP="00D22A3E">
      <w:pPr>
        <w:pStyle w:val="a3"/>
        <w:numPr>
          <w:ilvl w:val="0"/>
          <w:numId w:val="23"/>
        </w:numPr>
        <w:tabs>
          <w:tab w:val="left" w:pos="424"/>
        </w:tabs>
        <w:spacing w:after="0"/>
        <w:ind w:left="424" w:hanging="425"/>
        <w:jc w:val="lowKashida"/>
        <w:rPr>
          <w:rFonts w:ascii="Simplified Arabic" w:eastAsia="Times New Roman" w:hAnsi="Simplified Arabic" w:cs="Simplified Arabic"/>
          <w:sz w:val="28"/>
          <w:szCs w:val="28"/>
        </w:rPr>
      </w:pPr>
      <w:r w:rsidRPr="00424F47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إجراء دراسة مشابهة للدراسة الحالية </w:t>
      </w:r>
      <w:r w:rsidR="00D22A3E">
        <w:rPr>
          <w:rFonts w:ascii="Simplified Arabic" w:eastAsia="Times New Roman" w:hAnsi="Simplified Arabic" w:cs="Simplified Arabic" w:hint="cs"/>
          <w:sz w:val="28"/>
          <w:szCs w:val="28"/>
          <w:rtl/>
        </w:rPr>
        <w:t>لا</w:t>
      </w:r>
      <w:r w:rsidR="00D22A3E" w:rsidRPr="00424F47">
        <w:rPr>
          <w:rFonts w:ascii="Simplified Arabic" w:eastAsia="Times New Roman" w:hAnsi="Simplified Arabic" w:cs="Simplified Arabic" w:hint="cs"/>
          <w:sz w:val="28"/>
          <w:szCs w:val="28"/>
          <w:rtl/>
        </w:rPr>
        <w:t>ختبار</w:t>
      </w:r>
      <w:r w:rsidR="00C13005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  <w:r w:rsidR="00C13005">
        <w:rPr>
          <w:rFonts w:ascii="Simplified Arabic" w:eastAsia="Times New Roman" w:hAnsi="Simplified Arabic" w:cs="Simplified Arabic"/>
          <w:sz w:val="28"/>
          <w:szCs w:val="28"/>
          <w:rtl/>
        </w:rPr>
        <w:t>أثر</w:t>
      </w:r>
      <w:r w:rsidR="00C13005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  <w:proofErr w:type="spellStart"/>
      <w:r w:rsidRPr="00424F47">
        <w:rPr>
          <w:rFonts w:ascii="Simplified Arabic" w:eastAsia="Times New Roman" w:hAnsi="Simplified Arabic" w:cs="Simplified Arabic"/>
          <w:sz w:val="28"/>
          <w:szCs w:val="28"/>
          <w:rtl/>
        </w:rPr>
        <w:t>إستراتيجية</w:t>
      </w:r>
      <w:proofErr w:type="spellEnd"/>
      <w:r w:rsidRPr="00424F47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دورة التعلم السباعية</w:t>
      </w:r>
      <w:r w:rsidR="0057593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في </w:t>
      </w:r>
      <w:proofErr w:type="spellStart"/>
      <w:r w:rsidR="00575939">
        <w:rPr>
          <w:rFonts w:ascii="Simplified Arabic" w:eastAsia="Times New Roman" w:hAnsi="Simplified Arabic" w:cs="Simplified Arabic"/>
          <w:sz w:val="28"/>
          <w:szCs w:val="28"/>
          <w:rtl/>
        </w:rPr>
        <w:t>إكتساب</w:t>
      </w:r>
      <w:proofErr w:type="spellEnd"/>
      <w:r w:rsidR="0057593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المفاهيم البلاغية أو</w:t>
      </w:r>
      <w:r w:rsidR="00575939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  <w:r w:rsidR="0057593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النحوية </w:t>
      </w:r>
      <w:r w:rsidRPr="00424F47">
        <w:rPr>
          <w:rFonts w:ascii="Simplified Arabic" w:eastAsia="Times New Roman" w:hAnsi="Simplified Arabic" w:cs="Simplified Arabic"/>
          <w:sz w:val="28"/>
          <w:szCs w:val="28"/>
          <w:rtl/>
        </w:rPr>
        <w:t>لدى طلبة المرحلة الم</w:t>
      </w:r>
      <w:r w:rsidR="00777F98" w:rsidRPr="00424F47">
        <w:rPr>
          <w:rFonts w:ascii="Simplified Arabic" w:eastAsia="Times New Roman" w:hAnsi="Simplified Arabic" w:cs="Simplified Arabic"/>
          <w:sz w:val="28"/>
          <w:szCs w:val="28"/>
          <w:rtl/>
        </w:rPr>
        <w:t>توسطة</w:t>
      </w:r>
      <w:r w:rsidRPr="00424F47">
        <w:rPr>
          <w:rFonts w:ascii="Simplified Arabic" w:eastAsia="Times New Roman" w:hAnsi="Simplified Arabic" w:cs="Simplified Arabic"/>
          <w:sz w:val="28"/>
          <w:szCs w:val="28"/>
          <w:rtl/>
        </w:rPr>
        <w:t>.</w:t>
      </w:r>
    </w:p>
    <w:p w:rsidR="00424F47" w:rsidRDefault="00416DD1" w:rsidP="002F5557">
      <w:pPr>
        <w:pStyle w:val="a3"/>
        <w:numPr>
          <w:ilvl w:val="0"/>
          <w:numId w:val="23"/>
        </w:numPr>
        <w:tabs>
          <w:tab w:val="left" w:pos="424"/>
        </w:tabs>
        <w:spacing w:after="0"/>
        <w:ind w:left="424" w:hanging="425"/>
        <w:jc w:val="lowKashida"/>
        <w:rPr>
          <w:rFonts w:ascii="Simplified Arabic" w:eastAsia="Times New Roman" w:hAnsi="Simplified Arabic" w:cs="Simplified Arabic"/>
          <w:sz w:val="28"/>
          <w:szCs w:val="28"/>
        </w:rPr>
      </w:pPr>
      <w:r w:rsidRPr="00424F47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إجراء موازنة بين استراتيجية دورة التعلم السباعية واستراتيجيات أُخرى المنبثقة من </w:t>
      </w:r>
      <w:r w:rsidR="00C61BA0">
        <w:rPr>
          <w:rFonts w:ascii="Simplified Arabic" w:eastAsia="Times New Roman" w:hAnsi="Simplified Arabic" w:cs="Simplified Arabic" w:hint="cs"/>
          <w:sz w:val="28"/>
          <w:szCs w:val="28"/>
          <w:rtl/>
        </w:rPr>
        <w:t>ال</w:t>
      </w:r>
      <w:r w:rsidRPr="00424F47">
        <w:rPr>
          <w:rFonts w:ascii="Simplified Arabic" w:eastAsia="Times New Roman" w:hAnsi="Simplified Arabic" w:cs="Simplified Arabic"/>
          <w:sz w:val="28"/>
          <w:szCs w:val="28"/>
          <w:rtl/>
        </w:rPr>
        <w:t>نظريات</w:t>
      </w:r>
      <w:r w:rsidR="0071265D" w:rsidRPr="00424F47">
        <w:rPr>
          <w:rFonts w:ascii="Simplified Arabic" w:eastAsia="Times New Roman" w:hAnsi="Simplified Arabic" w:cs="Simplified Arabic"/>
          <w:sz w:val="28"/>
          <w:szCs w:val="28"/>
          <w:rtl/>
        </w:rPr>
        <w:t>.</w:t>
      </w:r>
    </w:p>
    <w:p w:rsidR="00416DD1" w:rsidRPr="00424F47" w:rsidRDefault="00416DD1" w:rsidP="00424F47">
      <w:pPr>
        <w:pStyle w:val="a3"/>
        <w:numPr>
          <w:ilvl w:val="0"/>
          <w:numId w:val="23"/>
        </w:numPr>
        <w:tabs>
          <w:tab w:val="left" w:pos="424"/>
        </w:tabs>
        <w:spacing w:after="0"/>
        <w:ind w:left="424" w:hanging="425"/>
        <w:jc w:val="lowKashida"/>
        <w:rPr>
          <w:rFonts w:ascii="Simplified Arabic" w:eastAsia="Times New Roman" w:hAnsi="Simplified Arabic" w:cs="Simplified Arabic"/>
          <w:sz w:val="28"/>
          <w:szCs w:val="28"/>
        </w:rPr>
      </w:pPr>
      <w:r w:rsidRPr="00424F47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تجريب </w:t>
      </w:r>
      <w:proofErr w:type="spellStart"/>
      <w:r w:rsidRPr="00424F47">
        <w:rPr>
          <w:rFonts w:ascii="Simplified Arabic" w:eastAsia="Times New Roman" w:hAnsi="Simplified Arabic" w:cs="Simplified Arabic"/>
          <w:sz w:val="28"/>
          <w:szCs w:val="28"/>
          <w:rtl/>
        </w:rPr>
        <w:t>إستراتيجية</w:t>
      </w:r>
      <w:proofErr w:type="spellEnd"/>
      <w:r w:rsidRPr="00424F47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دورة التعلم السباعية في متغيرات تابعة أخرى مثل تنمية </w:t>
      </w:r>
      <w:proofErr w:type="spellStart"/>
      <w:r w:rsidRPr="00424F47">
        <w:rPr>
          <w:rFonts w:ascii="Simplified Arabic" w:eastAsia="Times New Roman" w:hAnsi="Simplified Arabic" w:cs="Simplified Arabic"/>
          <w:sz w:val="28"/>
          <w:szCs w:val="28"/>
          <w:rtl/>
        </w:rPr>
        <w:t>الإتجاه</w:t>
      </w:r>
      <w:proofErr w:type="spellEnd"/>
      <w:r w:rsidRPr="00424F47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أو تنمية المفاهيم أو الميول عند الطلبة. </w:t>
      </w:r>
    </w:p>
    <w:p w:rsidR="00416DD1" w:rsidRPr="00C0426E" w:rsidRDefault="00416DD1" w:rsidP="00C0426E">
      <w:pPr>
        <w:jc w:val="lowKashida"/>
        <w:rPr>
          <w:rFonts w:ascii="Simplified Arabic" w:eastAsia="Times New Roman" w:hAnsi="Simplified Arabic" w:cs="Simplified Arabic"/>
          <w:sz w:val="28"/>
          <w:szCs w:val="28"/>
          <w:rtl/>
        </w:rPr>
      </w:pPr>
    </w:p>
    <w:p w:rsidR="008D4A79" w:rsidRPr="00C0426E" w:rsidRDefault="008D4A79" w:rsidP="00C0426E">
      <w:pPr>
        <w:tabs>
          <w:tab w:val="left" w:pos="424"/>
        </w:tabs>
        <w:spacing w:after="0"/>
        <w:jc w:val="lowKashida"/>
        <w:rPr>
          <w:rFonts w:ascii="Simplified Arabic" w:eastAsia="Times New Roman" w:hAnsi="Simplified Arabic" w:cs="Simplified Arabic"/>
          <w:sz w:val="28"/>
          <w:szCs w:val="28"/>
          <w:rtl/>
        </w:rPr>
      </w:pPr>
    </w:p>
    <w:sectPr w:rsidR="008D4A79" w:rsidRPr="00C0426E" w:rsidSect="0043046E">
      <w:headerReference w:type="default" r:id="rId11"/>
      <w:footerReference w:type="default" r:id="rId12"/>
      <w:pgSz w:w="11906" w:h="16838"/>
      <w:pgMar w:top="1134" w:right="1701" w:bottom="1134" w:left="1134" w:header="851" w:footer="567" w:gutter="0"/>
      <w:pgNumType w:start="7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0A5" w:rsidRDefault="00F920A5" w:rsidP="006831D9">
      <w:pPr>
        <w:spacing w:after="0" w:line="240" w:lineRule="auto"/>
      </w:pPr>
      <w:r>
        <w:separator/>
      </w:r>
    </w:p>
  </w:endnote>
  <w:endnote w:type="continuationSeparator" w:id="0">
    <w:p w:rsidR="00F920A5" w:rsidRDefault="00F920A5" w:rsidP="00683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32"/>
        <w:szCs w:val="32"/>
        <w:rtl/>
      </w:rPr>
      <w:id w:val="114245984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43046E" w:rsidRPr="006F26FD" w:rsidRDefault="0043046E">
        <w:pPr>
          <w:pStyle w:val="a6"/>
          <w:jc w:val="center"/>
          <w:rPr>
            <w:sz w:val="28"/>
            <w:szCs w:val="28"/>
          </w:rPr>
        </w:pPr>
        <w:r w:rsidRPr="006F26FD">
          <w:rPr>
            <w:sz w:val="28"/>
            <w:szCs w:val="28"/>
          </w:rPr>
          <w:fldChar w:fldCharType="begin"/>
        </w:r>
        <w:r w:rsidRPr="006F26FD">
          <w:rPr>
            <w:sz w:val="28"/>
            <w:szCs w:val="28"/>
          </w:rPr>
          <w:instrText>PAGE   \* MERGEFORMAT</w:instrText>
        </w:r>
        <w:r w:rsidRPr="006F26FD">
          <w:rPr>
            <w:sz w:val="28"/>
            <w:szCs w:val="28"/>
          </w:rPr>
          <w:fldChar w:fldCharType="separate"/>
        </w:r>
        <w:r w:rsidR="00E44B78" w:rsidRPr="00E44B78">
          <w:rPr>
            <w:noProof/>
            <w:sz w:val="28"/>
            <w:szCs w:val="28"/>
            <w:rtl/>
            <w:lang w:val="ar-SA"/>
          </w:rPr>
          <w:t>71</w:t>
        </w:r>
        <w:r w:rsidRPr="006F26FD">
          <w:rPr>
            <w:sz w:val="28"/>
            <w:szCs w:val="28"/>
          </w:rPr>
          <w:fldChar w:fldCharType="end"/>
        </w:r>
      </w:p>
    </w:sdtContent>
  </w:sdt>
  <w:p w:rsidR="00316C95" w:rsidRDefault="00316C9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0A5" w:rsidRDefault="00F920A5" w:rsidP="006831D9">
      <w:pPr>
        <w:spacing w:after="0" w:line="240" w:lineRule="auto"/>
      </w:pPr>
      <w:r>
        <w:separator/>
      </w:r>
    </w:p>
  </w:footnote>
  <w:footnote w:type="continuationSeparator" w:id="0">
    <w:p w:rsidR="00F920A5" w:rsidRDefault="00F920A5" w:rsidP="00683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303133561"/>
      <w:docPartObj>
        <w:docPartGallery w:val="Page Numbers (Top of Page)"/>
        <w:docPartUnique/>
      </w:docPartObj>
    </w:sdtPr>
    <w:sdtEndPr/>
    <w:sdtContent>
      <w:sdt>
        <w:sdtPr>
          <w:rPr>
            <w:rtl/>
            <w:lang w:val="ar-SA"/>
          </w:rPr>
          <w:id w:val="1316300315"/>
          <w:docPartObj>
            <w:docPartGallery w:val="Page Numbers (Top of Page)"/>
            <w:docPartUnique/>
          </w:docPartObj>
        </w:sdtPr>
        <w:sdtEndPr>
          <w:rPr>
            <w:lang w:val="en-US"/>
          </w:rPr>
        </w:sdtEndPr>
        <w:sdtContent>
          <w:p w:rsidR="00804E34" w:rsidRDefault="009E67AD" w:rsidP="00111FC1">
            <w:pPr>
              <w:tabs>
                <w:tab w:val="left" w:pos="3818"/>
              </w:tabs>
              <w:spacing w:after="0"/>
              <w:ind w:right="360"/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noProof/>
                <w:sz w:val="28"/>
                <w:szCs w:val="28"/>
                <w:rtl/>
              </w:rPr>
              <w:t xml:space="preserve">               </w:t>
            </w:r>
          </w:p>
          <w:p w:rsidR="009E67AD" w:rsidRPr="00804E34" w:rsidRDefault="009E67AD" w:rsidP="007B5C3C">
            <w:pPr>
              <w:tabs>
                <w:tab w:val="center" w:pos="4355"/>
              </w:tabs>
              <w:spacing w:after="0"/>
              <w:ind w:right="360"/>
              <w:rPr>
                <w:rtl/>
                <w:lang w:val="ar-SA"/>
              </w:rPr>
            </w:pPr>
            <w:r>
              <w:rPr>
                <w:rFonts w:ascii="Simplified Arabic" w:hAnsi="Simplified Arabic" w:cs="Simplified Arabic" w:hint="cs"/>
                <w:b/>
                <w:bCs/>
                <w:noProof/>
                <w:sz w:val="28"/>
                <w:szCs w:val="28"/>
                <w:rtl/>
              </w:rPr>
              <w:t xml:space="preserve">   </w:t>
            </w:r>
            <w:r w:rsidR="007B5C3C"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  <w:rtl/>
              </w:rPr>
              <w:tab/>
            </w:r>
          </w:p>
          <w:p w:rsidR="009E67AD" w:rsidRDefault="009E67AD" w:rsidP="009E67AD">
            <w:pPr>
              <w:pStyle w:val="a5"/>
              <w:tabs>
                <w:tab w:val="center" w:pos="4535"/>
                <w:tab w:val="left" w:pos="7156"/>
              </w:tabs>
              <w:rPr>
                <w:rtl/>
                <w:lang w:val="ar-SA"/>
              </w:rPr>
            </w:pPr>
            <w:r>
              <w:rPr>
                <w:rtl/>
                <w:lang w:val="ar-SA"/>
              </w:rPr>
              <w:tab/>
            </w:r>
            <w:r>
              <w:rPr>
                <w:rtl/>
                <w:lang w:val="ar-SA"/>
              </w:rPr>
              <w:tab/>
            </w:r>
            <w:r w:rsidR="00804E34">
              <w:rPr>
                <w:rtl/>
                <w:lang w:val="ar-SA"/>
              </w:rPr>
              <w:t xml:space="preserve"> </w:t>
            </w:r>
            <w:r>
              <w:rPr>
                <w:rtl/>
                <w:lang w:val="ar-SA"/>
              </w:rPr>
              <w:tab/>
            </w:r>
          </w:p>
          <w:p w:rsidR="00804E34" w:rsidRDefault="00F920A5" w:rsidP="009E67AD">
            <w:pPr>
              <w:pStyle w:val="a5"/>
              <w:tabs>
                <w:tab w:val="center" w:pos="4535"/>
                <w:tab w:val="left" w:pos="7156"/>
              </w:tabs>
            </w:pPr>
          </w:p>
        </w:sdtContent>
      </w:sdt>
    </w:sdtContent>
  </w:sdt>
  <w:p w:rsidR="006831D9" w:rsidRPr="009E67AD" w:rsidRDefault="009E67AD" w:rsidP="00D30762">
    <w:pPr>
      <w:pStyle w:val="a5"/>
      <w:jc w:val="both"/>
      <w:rPr>
        <w:b/>
        <w:bCs/>
        <w:sz w:val="32"/>
        <w:szCs w:val="32"/>
        <w:lang w:bidi="ar-IQ"/>
      </w:rPr>
    </w:pPr>
    <w:r>
      <w:rPr>
        <w:rFonts w:hint="cs"/>
        <w:rtl/>
        <w:lang w:bidi="ar-IQ"/>
      </w:rPr>
      <w:t xml:space="preserve">  </w:t>
    </w:r>
    <w:r>
      <w:rPr>
        <w:rFonts w:hint="cs"/>
        <w:b/>
        <w:bCs/>
        <w:sz w:val="32"/>
        <w:szCs w:val="32"/>
        <w:rtl/>
        <w:lang w:bidi="ar-IQ"/>
      </w:rP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4459"/>
    <w:multiLevelType w:val="hybridMultilevel"/>
    <w:tmpl w:val="24F2D034"/>
    <w:lvl w:ilvl="0" w:tplc="7C5096D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A25A37"/>
    <w:multiLevelType w:val="hybridMultilevel"/>
    <w:tmpl w:val="6076E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53119"/>
    <w:multiLevelType w:val="hybridMultilevel"/>
    <w:tmpl w:val="A57E6AE2"/>
    <w:lvl w:ilvl="0" w:tplc="014E8FFE">
      <w:start w:val="1"/>
      <w:numFmt w:val="arabicAlpha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1BAE1D1E"/>
    <w:multiLevelType w:val="hybridMultilevel"/>
    <w:tmpl w:val="6694B4AE"/>
    <w:lvl w:ilvl="0" w:tplc="13343376">
      <w:start w:val="1"/>
      <w:numFmt w:val="decimal"/>
      <w:lvlText w:val="%1-"/>
      <w:lvlJc w:val="left"/>
      <w:pPr>
        <w:ind w:left="360" w:hanging="360"/>
      </w:pPr>
      <w:rPr>
        <w:rFonts w:ascii="Simplified Arabic" w:eastAsia="Times New Roman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>
    <w:nsid w:val="20BE5590"/>
    <w:multiLevelType w:val="hybridMultilevel"/>
    <w:tmpl w:val="CBDC5B76"/>
    <w:lvl w:ilvl="0" w:tplc="27929152">
      <w:start w:val="1"/>
      <w:numFmt w:val="decimal"/>
      <w:lvlText w:val="%1-"/>
      <w:lvlJc w:val="left"/>
      <w:pPr>
        <w:ind w:left="957" w:hanging="390"/>
      </w:pPr>
      <w:rPr>
        <w:rFonts w:ascii="Simplified Arabic" w:eastAsia="Times New Roman" w:hAnsi="Simplified Arabic" w:cs="Simplified Arabic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D53088D"/>
    <w:multiLevelType w:val="hybridMultilevel"/>
    <w:tmpl w:val="EBC8F57C"/>
    <w:lvl w:ilvl="0" w:tplc="8828F0D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CF5BCB"/>
    <w:multiLevelType w:val="hybridMultilevel"/>
    <w:tmpl w:val="EF3A0DD8"/>
    <w:lvl w:ilvl="0" w:tplc="134A4A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083427"/>
    <w:multiLevelType w:val="hybridMultilevel"/>
    <w:tmpl w:val="CF98AE7C"/>
    <w:lvl w:ilvl="0" w:tplc="D07A795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B92AEA"/>
    <w:multiLevelType w:val="hybridMultilevel"/>
    <w:tmpl w:val="9A8C7354"/>
    <w:lvl w:ilvl="0" w:tplc="280CAF6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0077E86"/>
    <w:multiLevelType w:val="hybridMultilevel"/>
    <w:tmpl w:val="E1EA6F6A"/>
    <w:lvl w:ilvl="0" w:tplc="07DE400E">
      <w:start w:val="1"/>
      <w:numFmt w:val="decimal"/>
      <w:lvlText w:val="%1-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0EA025D"/>
    <w:multiLevelType w:val="hybridMultilevel"/>
    <w:tmpl w:val="C04A8F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A168DC"/>
    <w:multiLevelType w:val="hybridMultilevel"/>
    <w:tmpl w:val="15E08D64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>
    <w:nsid w:val="4EB81FAF"/>
    <w:multiLevelType w:val="hybridMultilevel"/>
    <w:tmpl w:val="850A446E"/>
    <w:lvl w:ilvl="0" w:tplc="3BACAE5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376AC3"/>
    <w:multiLevelType w:val="hybridMultilevel"/>
    <w:tmpl w:val="F564B6D0"/>
    <w:lvl w:ilvl="0" w:tplc="FC9698A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723BDE"/>
    <w:multiLevelType w:val="hybridMultilevel"/>
    <w:tmpl w:val="F03E448A"/>
    <w:lvl w:ilvl="0" w:tplc="9C5ACB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0B7245"/>
    <w:multiLevelType w:val="hybridMultilevel"/>
    <w:tmpl w:val="E8FCB840"/>
    <w:lvl w:ilvl="0" w:tplc="176AC6D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350D9F"/>
    <w:multiLevelType w:val="hybridMultilevel"/>
    <w:tmpl w:val="EAC2B890"/>
    <w:lvl w:ilvl="0" w:tplc="6F0E02F0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67C416D4"/>
    <w:multiLevelType w:val="hybridMultilevel"/>
    <w:tmpl w:val="C5B8BF4E"/>
    <w:lvl w:ilvl="0" w:tplc="A66E4B50">
      <w:start w:val="1"/>
      <w:numFmt w:val="arabicAlpha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634AFA"/>
    <w:multiLevelType w:val="hybridMultilevel"/>
    <w:tmpl w:val="405A4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8D7080"/>
    <w:multiLevelType w:val="hybridMultilevel"/>
    <w:tmpl w:val="4BD81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416673"/>
    <w:multiLevelType w:val="hybridMultilevel"/>
    <w:tmpl w:val="27682C08"/>
    <w:lvl w:ilvl="0" w:tplc="13CE13E2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C866255"/>
    <w:multiLevelType w:val="hybridMultilevel"/>
    <w:tmpl w:val="2C924834"/>
    <w:lvl w:ilvl="0" w:tplc="658AD7C8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A4679B"/>
    <w:multiLevelType w:val="hybridMultilevel"/>
    <w:tmpl w:val="EF120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3"/>
  </w:num>
  <w:num w:numId="7">
    <w:abstractNumId w:val="4"/>
  </w:num>
  <w:num w:numId="8">
    <w:abstractNumId w:val="21"/>
  </w:num>
  <w:num w:numId="9">
    <w:abstractNumId w:val="17"/>
  </w:num>
  <w:num w:numId="10">
    <w:abstractNumId w:val="6"/>
  </w:num>
  <w:num w:numId="11">
    <w:abstractNumId w:val="9"/>
  </w:num>
  <w:num w:numId="12">
    <w:abstractNumId w:val="0"/>
  </w:num>
  <w:num w:numId="13">
    <w:abstractNumId w:val="7"/>
  </w:num>
  <w:num w:numId="14">
    <w:abstractNumId w:val="12"/>
  </w:num>
  <w:num w:numId="15">
    <w:abstractNumId w:val="16"/>
  </w:num>
  <w:num w:numId="16">
    <w:abstractNumId w:val="8"/>
  </w:num>
  <w:num w:numId="17">
    <w:abstractNumId w:val="2"/>
  </w:num>
  <w:num w:numId="18">
    <w:abstractNumId w:val="22"/>
  </w:num>
  <w:num w:numId="19">
    <w:abstractNumId w:val="18"/>
  </w:num>
  <w:num w:numId="20">
    <w:abstractNumId w:val="10"/>
  </w:num>
  <w:num w:numId="21">
    <w:abstractNumId w:val="19"/>
  </w:num>
  <w:num w:numId="22">
    <w:abstractNumId w:val="11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251"/>
    <w:rsid w:val="00005DF1"/>
    <w:rsid w:val="000252D4"/>
    <w:rsid w:val="00027C42"/>
    <w:rsid w:val="000335DA"/>
    <w:rsid w:val="00040B0F"/>
    <w:rsid w:val="00041BE5"/>
    <w:rsid w:val="00045263"/>
    <w:rsid w:val="000532BB"/>
    <w:rsid w:val="00056376"/>
    <w:rsid w:val="000636DF"/>
    <w:rsid w:val="00071B76"/>
    <w:rsid w:val="0008307E"/>
    <w:rsid w:val="00085768"/>
    <w:rsid w:val="00097103"/>
    <w:rsid w:val="000A5BC8"/>
    <w:rsid w:val="000A6466"/>
    <w:rsid w:val="000E1657"/>
    <w:rsid w:val="000E3803"/>
    <w:rsid w:val="000F4111"/>
    <w:rsid w:val="00101DD3"/>
    <w:rsid w:val="001031CD"/>
    <w:rsid w:val="00103F6C"/>
    <w:rsid w:val="00111FC1"/>
    <w:rsid w:val="00112AC5"/>
    <w:rsid w:val="00114266"/>
    <w:rsid w:val="00127D23"/>
    <w:rsid w:val="00132BE8"/>
    <w:rsid w:val="001348FF"/>
    <w:rsid w:val="00140E17"/>
    <w:rsid w:val="00145FC1"/>
    <w:rsid w:val="00151880"/>
    <w:rsid w:val="00157C71"/>
    <w:rsid w:val="00160755"/>
    <w:rsid w:val="001608F4"/>
    <w:rsid w:val="001627BB"/>
    <w:rsid w:val="00174F79"/>
    <w:rsid w:val="001862E0"/>
    <w:rsid w:val="001927C9"/>
    <w:rsid w:val="001D2422"/>
    <w:rsid w:val="001D2B93"/>
    <w:rsid w:val="001F036D"/>
    <w:rsid w:val="001F09A6"/>
    <w:rsid w:val="001F1AC4"/>
    <w:rsid w:val="0021568D"/>
    <w:rsid w:val="0021710E"/>
    <w:rsid w:val="0023030C"/>
    <w:rsid w:val="00235A16"/>
    <w:rsid w:val="00235E5C"/>
    <w:rsid w:val="00255275"/>
    <w:rsid w:val="00273249"/>
    <w:rsid w:val="00275B56"/>
    <w:rsid w:val="00277F95"/>
    <w:rsid w:val="0028310F"/>
    <w:rsid w:val="002972BA"/>
    <w:rsid w:val="002A3FFA"/>
    <w:rsid w:val="002B2209"/>
    <w:rsid w:val="002B45C1"/>
    <w:rsid w:val="002B578E"/>
    <w:rsid w:val="002B77EA"/>
    <w:rsid w:val="002F14BC"/>
    <w:rsid w:val="002F5557"/>
    <w:rsid w:val="00304649"/>
    <w:rsid w:val="003060F9"/>
    <w:rsid w:val="00316C95"/>
    <w:rsid w:val="0032027F"/>
    <w:rsid w:val="00322FA9"/>
    <w:rsid w:val="003249F0"/>
    <w:rsid w:val="003259BF"/>
    <w:rsid w:val="00326F30"/>
    <w:rsid w:val="0033444D"/>
    <w:rsid w:val="00343DDC"/>
    <w:rsid w:val="00352325"/>
    <w:rsid w:val="003528AD"/>
    <w:rsid w:val="00355FFD"/>
    <w:rsid w:val="00373442"/>
    <w:rsid w:val="00377CF7"/>
    <w:rsid w:val="00380FFC"/>
    <w:rsid w:val="003A0974"/>
    <w:rsid w:val="003A362D"/>
    <w:rsid w:val="003E165F"/>
    <w:rsid w:val="003E1A1E"/>
    <w:rsid w:val="003E1BA1"/>
    <w:rsid w:val="003E622A"/>
    <w:rsid w:val="003E6621"/>
    <w:rsid w:val="004040D5"/>
    <w:rsid w:val="004124E7"/>
    <w:rsid w:val="00416DD1"/>
    <w:rsid w:val="00417D12"/>
    <w:rsid w:val="00420807"/>
    <w:rsid w:val="0042174B"/>
    <w:rsid w:val="00424F47"/>
    <w:rsid w:val="0043046E"/>
    <w:rsid w:val="00432891"/>
    <w:rsid w:val="00435E93"/>
    <w:rsid w:val="0045684E"/>
    <w:rsid w:val="0046706E"/>
    <w:rsid w:val="004770E3"/>
    <w:rsid w:val="004A1F5F"/>
    <w:rsid w:val="004A486F"/>
    <w:rsid w:val="004B3B8F"/>
    <w:rsid w:val="004C12BD"/>
    <w:rsid w:val="004E334C"/>
    <w:rsid w:val="004E43D3"/>
    <w:rsid w:val="004F70BD"/>
    <w:rsid w:val="00500D80"/>
    <w:rsid w:val="00505F19"/>
    <w:rsid w:val="00513BD2"/>
    <w:rsid w:val="005319AD"/>
    <w:rsid w:val="00561413"/>
    <w:rsid w:val="00575939"/>
    <w:rsid w:val="0058077B"/>
    <w:rsid w:val="00595332"/>
    <w:rsid w:val="005B0AF7"/>
    <w:rsid w:val="005B2015"/>
    <w:rsid w:val="005B41D2"/>
    <w:rsid w:val="005B4437"/>
    <w:rsid w:val="005B58DA"/>
    <w:rsid w:val="005B63DB"/>
    <w:rsid w:val="005C0376"/>
    <w:rsid w:val="005C47DE"/>
    <w:rsid w:val="005E3356"/>
    <w:rsid w:val="005F0D63"/>
    <w:rsid w:val="00602F2D"/>
    <w:rsid w:val="00603B8D"/>
    <w:rsid w:val="006248BE"/>
    <w:rsid w:val="00633271"/>
    <w:rsid w:val="00636D14"/>
    <w:rsid w:val="00647B6D"/>
    <w:rsid w:val="006552D8"/>
    <w:rsid w:val="00660A44"/>
    <w:rsid w:val="00681225"/>
    <w:rsid w:val="006831D9"/>
    <w:rsid w:val="00683488"/>
    <w:rsid w:val="00684EA4"/>
    <w:rsid w:val="006A3A49"/>
    <w:rsid w:val="006A3C4D"/>
    <w:rsid w:val="006A54F3"/>
    <w:rsid w:val="006C155F"/>
    <w:rsid w:val="006D78D3"/>
    <w:rsid w:val="006E4A2B"/>
    <w:rsid w:val="006F26FD"/>
    <w:rsid w:val="0071265D"/>
    <w:rsid w:val="0072581F"/>
    <w:rsid w:val="00725F7A"/>
    <w:rsid w:val="00733162"/>
    <w:rsid w:val="007432B2"/>
    <w:rsid w:val="00745B70"/>
    <w:rsid w:val="00757D9F"/>
    <w:rsid w:val="0077349D"/>
    <w:rsid w:val="00777F98"/>
    <w:rsid w:val="007A2480"/>
    <w:rsid w:val="007A7D9E"/>
    <w:rsid w:val="007A7F54"/>
    <w:rsid w:val="007B3B50"/>
    <w:rsid w:val="007B5C3C"/>
    <w:rsid w:val="007B75D8"/>
    <w:rsid w:val="007C4302"/>
    <w:rsid w:val="007C5E03"/>
    <w:rsid w:val="007D426F"/>
    <w:rsid w:val="007D5AA8"/>
    <w:rsid w:val="007D78B6"/>
    <w:rsid w:val="007E0538"/>
    <w:rsid w:val="007E2122"/>
    <w:rsid w:val="007F4756"/>
    <w:rsid w:val="007F59F4"/>
    <w:rsid w:val="00804658"/>
    <w:rsid w:val="00804E34"/>
    <w:rsid w:val="00807E4C"/>
    <w:rsid w:val="00815AFF"/>
    <w:rsid w:val="0081715C"/>
    <w:rsid w:val="008246F4"/>
    <w:rsid w:val="00831E03"/>
    <w:rsid w:val="00837373"/>
    <w:rsid w:val="008647DD"/>
    <w:rsid w:val="00876771"/>
    <w:rsid w:val="00883251"/>
    <w:rsid w:val="008A2401"/>
    <w:rsid w:val="008A74FA"/>
    <w:rsid w:val="008B2069"/>
    <w:rsid w:val="008C1578"/>
    <w:rsid w:val="008D4A79"/>
    <w:rsid w:val="008E17D5"/>
    <w:rsid w:val="008E3043"/>
    <w:rsid w:val="008F2D48"/>
    <w:rsid w:val="00915F3C"/>
    <w:rsid w:val="00926811"/>
    <w:rsid w:val="0093383E"/>
    <w:rsid w:val="00934966"/>
    <w:rsid w:val="00936831"/>
    <w:rsid w:val="00936F6A"/>
    <w:rsid w:val="009424E1"/>
    <w:rsid w:val="009424EB"/>
    <w:rsid w:val="009425BE"/>
    <w:rsid w:val="009479E7"/>
    <w:rsid w:val="00956D15"/>
    <w:rsid w:val="00994970"/>
    <w:rsid w:val="009968B9"/>
    <w:rsid w:val="009A3A30"/>
    <w:rsid w:val="009A3E86"/>
    <w:rsid w:val="009A7BBC"/>
    <w:rsid w:val="009B16E2"/>
    <w:rsid w:val="009B293C"/>
    <w:rsid w:val="009C49BB"/>
    <w:rsid w:val="009D2541"/>
    <w:rsid w:val="009D3C92"/>
    <w:rsid w:val="009E379A"/>
    <w:rsid w:val="009E490F"/>
    <w:rsid w:val="009E579A"/>
    <w:rsid w:val="009E67AD"/>
    <w:rsid w:val="00A15089"/>
    <w:rsid w:val="00A20944"/>
    <w:rsid w:val="00A233ED"/>
    <w:rsid w:val="00A34582"/>
    <w:rsid w:val="00A3626D"/>
    <w:rsid w:val="00A46518"/>
    <w:rsid w:val="00A566AC"/>
    <w:rsid w:val="00A668A5"/>
    <w:rsid w:val="00A76523"/>
    <w:rsid w:val="00A93821"/>
    <w:rsid w:val="00A968BA"/>
    <w:rsid w:val="00AA7352"/>
    <w:rsid w:val="00AB129C"/>
    <w:rsid w:val="00AC12B9"/>
    <w:rsid w:val="00AC73C2"/>
    <w:rsid w:val="00AD34E2"/>
    <w:rsid w:val="00AD5C05"/>
    <w:rsid w:val="00B238CD"/>
    <w:rsid w:val="00B3673C"/>
    <w:rsid w:val="00B6449A"/>
    <w:rsid w:val="00B75F01"/>
    <w:rsid w:val="00B8475F"/>
    <w:rsid w:val="00B94067"/>
    <w:rsid w:val="00BA3041"/>
    <w:rsid w:val="00BB5E0C"/>
    <w:rsid w:val="00BB744E"/>
    <w:rsid w:val="00BC34D4"/>
    <w:rsid w:val="00BC5133"/>
    <w:rsid w:val="00BD428B"/>
    <w:rsid w:val="00BD5B97"/>
    <w:rsid w:val="00C0426E"/>
    <w:rsid w:val="00C13005"/>
    <w:rsid w:val="00C2690C"/>
    <w:rsid w:val="00C5610C"/>
    <w:rsid w:val="00C61BA0"/>
    <w:rsid w:val="00C639C2"/>
    <w:rsid w:val="00C718AB"/>
    <w:rsid w:val="00C74D25"/>
    <w:rsid w:val="00C77BC3"/>
    <w:rsid w:val="00C97662"/>
    <w:rsid w:val="00CA1601"/>
    <w:rsid w:val="00CD028A"/>
    <w:rsid w:val="00CD163F"/>
    <w:rsid w:val="00CE6696"/>
    <w:rsid w:val="00D039B6"/>
    <w:rsid w:val="00D0578E"/>
    <w:rsid w:val="00D06CC9"/>
    <w:rsid w:val="00D17F6E"/>
    <w:rsid w:val="00D22A3E"/>
    <w:rsid w:val="00D30762"/>
    <w:rsid w:val="00D377A2"/>
    <w:rsid w:val="00D435F9"/>
    <w:rsid w:val="00D45DDE"/>
    <w:rsid w:val="00D52FE1"/>
    <w:rsid w:val="00D55988"/>
    <w:rsid w:val="00D62E4F"/>
    <w:rsid w:val="00D74A56"/>
    <w:rsid w:val="00D94711"/>
    <w:rsid w:val="00DA2483"/>
    <w:rsid w:val="00DB23AE"/>
    <w:rsid w:val="00DB59FE"/>
    <w:rsid w:val="00DB6EDC"/>
    <w:rsid w:val="00DC1193"/>
    <w:rsid w:val="00DC631C"/>
    <w:rsid w:val="00E15264"/>
    <w:rsid w:val="00E31A45"/>
    <w:rsid w:val="00E40B0E"/>
    <w:rsid w:val="00E44B78"/>
    <w:rsid w:val="00E467D3"/>
    <w:rsid w:val="00E57426"/>
    <w:rsid w:val="00E65BF8"/>
    <w:rsid w:val="00E74051"/>
    <w:rsid w:val="00E808C4"/>
    <w:rsid w:val="00EC4B46"/>
    <w:rsid w:val="00EE3107"/>
    <w:rsid w:val="00F05C83"/>
    <w:rsid w:val="00F26685"/>
    <w:rsid w:val="00F323FA"/>
    <w:rsid w:val="00F42DD3"/>
    <w:rsid w:val="00F4342A"/>
    <w:rsid w:val="00F45456"/>
    <w:rsid w:val="00F50B28"/>
    <w:rsid w:val="00F54ACB"/>
    <w:rsid w:val="00F63103"/>
    <w:rsid w:val="00F82AE0"/>
    <w:rsid w:val="00F85620"/>
    <w:rsid w:val="00F920A5"/>
    <w:rsid w:val="00F94916"/>
    <w:rsid w:val="00F96CAE"/>
    <w:rsid w:val="00FA28FD"/>
    <w:rsid w:val="00FA291F"/>
    <w:rsid w:val="00FB25C5"/>
    <w:rsid w:val="00FD523F"/>
    <w:rsid w:val="00FE7A29"/>
    <w:rsid w:val="00FF02CE"/>
    <w:rsid w:val="00FF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51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251"/>
    <w:pPr>
      <w:ind w:left="720"/>
      <w:contextualSpacing/>
    </w:pPr>
  </w:style>
  <w:style w:type="table" w:styleId="1-5">
    <w:name w:val="Medium Grid 1 Accent 5"/>
    <w:basedOn w:val="a1"/>
    <w:uiPriority w:val="67"/>
    <w:rsid w:val="008832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5">
    <w:name w:val="Light List Accent 5"/>
    <w:basedOn w:val="a1"/>
    <w:uiPriority w:val="61"/>
    <w:rsid w:val="008832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-4">
    <w:name w:val="Medium Grid 1 Accent 4"/>
    <w:basedOn w:val="a1"/>
    <w:uiPriority w:val="67"/>
    <w:rsid w:val="008832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a4">
    <w:name w:val="Table Grid"/>
    <w:basedOn w:val="a1"/>
    <w:uiPriority w:val="59"/>
    <w:rsid w:val="00235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6831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6831D9"/>
    <w:rPr>
      <w:rFonts w:ascii="Calibri" w:eastAsia="Calibri" w:hAnsi="Calibri" w:cs="Arial"/>
    </w:rPr>
  </w:style>
  <w:style w:type="paragraph" w:styleId="a6">
    <w:name w:val="footer"/>
    <w:basedOn w:val="a"/>
    <w:link w:val="Char0"/>
    <w:uiPriority w:val="99"/>
    <w:unhideWhenUsed/>
    <w:rsid w:val="006831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6831D9"/>
    <w:rPr>
      <w:rFonts w:ascii="Calibri" w:eastAsia="Calibri" w:hAnsi="Calibri" w:cs="Arial"/>
    </w:rPr>
  </w:style>
  <w:style w:type="paragraph" w:styleId="a7">
    <w:name w:val="Balloon Text"/>
    <w:basedOn w:val="a"/>
    <w:link w:val="Char1"/>
    <w:uiPriority w:val="99"/>
    <w:semiHidden/>
    <w:unhideWhenUsed/>
    <w:rsid w:val="00683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6831D9"/>
    <w:rPr>
      <w:rFonts w:ascii="Tahoma" w:eastAsia="Calibri" w:hAnsi="Tahoma" w:cs="Tahoma"/>
      <w:sz w:val="16"/>
      <w:szCs w:val="16"/>
    </w:rPr>
  </w:style>
  <w:style w:type="table" w:customStyle="1" w:styleId="3">
    <w:name w:val="نمط3"/>
    <w:basedOn w:val="a8"/>
    <w:uiPriority w:val="99"/>
    <w:rsid w:val="00071B76"/>
    <w:pPr>
      <w:spacing w:after="0" w:line="240" w:lineRule="auto"/>
      <w:jc w:val="center"/>
    </w:pPr>
    <w:rPr>
      <w:sz w:val="20"/>
      <w:szCs w:val="20"/>
    </w:rPr>
    <w:tblPr>
      <w:tblStyleRowBandSize w:val="1"/>
      <w:tblInd w:w="0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  <w:vAlign w:val="center"/>
    </w:tcPr>
    <w:tblStylePr w:type="firstRow">
      <w:pPr>
        <w:jc w:val="center"/>
      </w:pPr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2FBFE"/>
      </w:tcPr>
    </w:tblStylePr>
    <w:tblStylePr w:type="firstCol">
      <w:pPr>
        <w:jc w:val="center"/>
      </w:pPr>
      <w:tblPr/>
      <w:tcPr>
        <w:shd w:val="clear" w:color="auto" w:fill="ECFCFE"/>
      </w:tcPr>
    </w:tblStylePr>
    <w:tblStylePr w:type="band1Horz">
      <w:pPr>
        <w:jc w:val="center"/>
      </w:pPr>
      <w:tblPr/>
      <w:tcPr>
        <w:vAlign w:val="center"/>
      </w:tcPr>
    </w:tblStylePr>
    <w:tblStylePr w:type="nwCell">
      <w:pPr>
        <w:jc w:val="center"/>
      </w:pPr>
      <w:tblPr/>
      <w:tcPr>
        <w:vAlign w:val="center"/>
      </w:tcPr>
    </w:tblStylePr>
  </w:style>
  <w:style w:type="table" w:styleId="a8">
    <w:name w:val="Table Elegant"/>
    <w:basedOn w:val="a1"/>
    <w:uiPriority w:val="99"/>
    <w:semiHidden/>
    <w:unhideWhenUsed/>
    <w:rsid w:val="00071B76"/>
    <w:pPr>
      <w:bidi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">
    <w:name w:val="نمط31"/>
    <w:basedOn w:val="a8"/>
    <w:uiPriority w:val="99"/>
    <w:rsid w:val="00EC4B46"/>
    <w:pPr>
      <w:spacing w:after="0" w:line="240" w:lineRule="auto"/>
      <w:jc w:val="center"/>
    </w:pPr>
    <w:rPr>
      <w:rFonts w:ascii="Calibri" w:eastAsia="Calibri" w:hAnsi="Calibri" w:cs="Arial"/>
      <w:sz w:val="20"/>
      <w:szCs w:val="20"/>
    </w:rPr>
    <w:tblPr>
      <w:tblStyleRowBandSize w:val="1"/>
      <w:tblInd w:w="0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  <w:vAlign w:val="center"/>
    </w:tcPr>
    <w:tblStylePr w:type="firstRow">
      <w:pPr>
        <w:jc w:val="center"/>
      </w:pPr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2FBFE"/>
      </w:tcPr>
    </w:tblStylePr>
    <w:tblStylePr w:type="firstCol">
      <w:pPr>
        <w:jc w:val="center"/>
      </w:pPr>
      <w:tblPr/>
      <w:tcPr>
        <w:shd w:val="clear" w:color="auto" w:fill="ECFCFE"/>
      </w:tcPr>
    </w:tblStylePr>
    <w:tblStylePr w:type="band1Horz">
      <w:pPr>
        <w:jc w:val="center"/>
      </w:pPr>
      <w:tblPr/>
      <w:tcPr>
        <w:vAlign w:val="center"/>
      </w:tcPr>
    </w:tblStylePr>
    <w:tblStylePr w:type="nwCell">
      <w:pPr>
        <w:jc w:val="center"/>
      </w:pPr>
      <w:tblPr/>
      <w:tcPr>
        <w:vAlign w:val="center"/>
      </w:tcPr>
    </w:tblStylePr>
  </w:style>
  <w:style w:type="table" w:customStyle="1" w:styleId="4">
    <w:name w:val="شبكة جدول4"/>
    <w:basedOn w:val="a1"/>
    <w:next w:val="a4"/>
    <w:rsid w:val="001F036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51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251"/>
    <w:pPr>
      <w:ind w:left="720"/>
      <w:contextualSpacing/>
    </w:pPr>
  </w:style>
  <w:style w:type="table" w:styleId="1-5">
    <w:name w:val="Medium Grid 1 Accent 5"/>
    <w:basedOn w:val="a1"/>
    <w:uiPriority w:val="67"/>
    <w:rsid w:val="008832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5">
    <w:name w:val="Light List Accent 5"/>
    <w:basedOn w:val="a1"/>
    <w:uiPriority w:val="61"/>
    <w:rsid w:val="008832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-4">
    <w:name w:val="Medium Grid 1 Accent 4"/>
    <w:basedOn w:val="a1"/>
    <w:uiPriority w:val="67"/>
    <w:rsid w:val="008832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a4">
    <w:name w:val="Table Grid"/>
    <w:basedOn w:val="a1"/>
    <w:uiPriority w:val="59"/>
    <w:rsid w:val="00235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6831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6831D9"/>
    <w:rPr>
      <w:rFonts w:ascii="Calibri" w:eastAsia="Calibri" w:hAnsi="Calibri" w:cs="Arial"/>
    </w:rPr>
  </w:style>
  <w:style w:type="paragraph" w:styleId="a6">
    <w:name w:val="footer"/>
    <w:basedOn w:val="a"/>
    <w:link w:val="Char0"/>
    <w:uiPriority w:val="99"/>
    <w:unhideWhenUsed/>
    <w:rsid w:val="006831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6831D9"/>
    <w:rPr>
      <w:rFonts w:ascii="Calibri" w:eastAsia="Calibri" w:hAnsi="Calibri" w:cs="Arial"/>
    </w:rPr>
  </w:style>
  <w:style w:type="paragraph" w:styleId="a7">
    <w:name w:val="Balloon Text"/>
    <w:basedOn w:val="a"/>
    <w:link w:val="Char1"/>
    <w:uiPriority w:val="99"/>
    <w:semiHidden/>
    <w:unhideWhenUsed/>
    <w:rsid w:val="00683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6831D9"/>
    <w:rPr>
      <w:rFonts w:ascii="Tahoma" w:eastAsia="Calibri" w:hAnsi="Tahoma" w:cs="Tahoma"/>
      <w:sz w:val="16"/>
      <w:szCs w:val="16"/>
    </w:rPr>
  </w:style>
  <w:style w:type="table" w:customStyle="1" w:styleId="3">
    <w:name w:val="نمط3"/>
    <w:basedOn w:val="a8"/>
    <w:uiPriority w:val="99"/>
    <w:rsid w:val="00071B76"/>
    <w:pPr>
      <w:spacing w:after="0" w:line="240" w:lineRule="auto"/>
      <w:jc w:val="center"/>
    </w:pPr>
    <w:rPr>
      <w:sz w:val="20"/>
      <w:szCs w:val="20"/>
    </w:rPr>
    <w:tblPr>
      <w:tblStyleRowBandSize w:val="1"/>
      <w:tblInd w:w="0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  <w:vAlign w:val="center"/>
    </w:tcPr>
    <w:tblStylePr w:type="firstRow">
      <w:pPr>
        <w:jc w:val="center"/>
      </w:pPr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2FBFE"/>
      </w:tcPr>
    </w:tblStylePr>
    <w:tblStylePr w:type="firstCol">
      <w:pPr>
        <w:jc w:val="center"/>
      </w:pPr>
      <w:tblPr/>
      <w:tcPr>
        <w:shd w:val="clear" w:color="auto" w:fill="ECFCFE"/>
      </w:tcPr>
    </w:tblStylePr>
    <w:tblStylePr w:type="band1Horz">
      <w:pPr>
        <w:jc w:val="center"/>
      </w:pPr>
      <w:tblPr/>
      <w:tcPr>
        <w:vAlign w:val="center"/>
      </w:tcPr>
    </w:tblStylePr>
    <w:tblStylePr w:type="nwCell">
      <w:pPr>
        <w:jc w:val="center"/>
      </w:pPr>
      <w:tblPr/>
      <w:tcPr>
        <w:vAlign w:val="center"/>
      </w:tcPr>
    </w:tblStylePr>
  </w:style>
  <w:style w:type="table" w:styleId="a8">
    <w:name w:val="Table Elegant"/>
    <w:basedOn w:val="a1"/>
    <w:uiPriority w:val="99"/>
    <w:semiHidden/>
    <w:unhideWhenUsed/>
    <w:rsid w:val="00071B76"/>
    <w:pPr>
      <w:bidi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">
    <w:name w:val="نمط31"/>
    <w:basedOn w:val="a8"/>
    <w:uiPriority w:val="99"/>
    <w:rsid w:val="00EC4B46"/>
    <w:pPr>
      <w:spacing w:after="0" w:line="240" w:lineRule="auto"/>
      <w:jc w:val="center"/>
    </w:pPr>
    <w:rPr>
      <w:rFonts w:ascii="Calibri" w:eastAsia="Calibri" w:hAnsi="Calibri" w:cs="Arial"/>
      <w:sz w:val="20"/>
      <w:szCs w:val="20"/>
    </w:rPr>
    <w:tblPr>
      <w:tblStyleRowBandSize w:val="1"/>
      <w:tblInd w:w="0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  <w:vAlign w:val="center"/>
    </w:tcPr>
    <w:tblStylePr w:type="firstRow">
      <w:pPr>
        <w:jc w:val="center"/>
      </w:pPr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2FBFE"/>
      </w:tcPr>
    </w:tblStylePr>
    <w:tblStylePr w:type="firstCol">
      <w:pPr>
        <w:jc w:val="center"/>
      </w:pPr>
      <w:tblPr/>
      <w:tcPr>
        <w:shd w:val="clear" w:color="auto" w:fill="ECFCFE"/>
      </w:tcPr>
    </w:tblStylePr>
    <w:tblStylePr w:type="band1Horz">
      <w:pPr>
        <w:jc w:val="center"/>
      </w:pPr>
      <w:tblPr/>
      <w:tcPr>
        <w:vAlign w:val="center"/>
      </w:tcPr>
    </w:tblStylePr>
    <w:tblStylePr w:type="nwCell">
      <w:pPr>
        <w:jc w:val="center"/>
      </w:pPr>
      <w:tblPr/>
      <w:tcPr>
        <w:vAlign w:val="center"/>
      </w:tcPr>
    </w:tblStylePr>
  </w:style>
  <w:style w:type="table" w:customStyle="1" w:styleId="4">
    <w:name w:val="شبكة جدول4"/>
    <w:basedOn w:val="a1"/>
    <w:next w:val="a4"/>
    <w:rsid w:val="001F036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1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IQ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/>
            </a:pPr>
            <a:r>
              <a:rPr lang="ar-IQ"/>
              <a:t>الاختبار</a:t>
            </a:r>
            <a:r>
              <a:rPr lang="ar-IQ" baseline="0"/>
              <a:t> التحصيلي</a:t>
            </a:r>
            <a:endParaRPr lang="ar-IQ"/>
          </a:p>
        </c:rich>
      </c:tx>
      <c:overlay val="0"/>
    </c:title>
    <c:autoTitleDeleted val="0"/>
    <c:view3D>
      <c:rotX val="15"/>
      <c:rotY val="34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cat>
            <c:strRef>
              <c:f>ورقة1!$F$7:$F$14</c:f>
              <c:strCache>
                <c:ptCount val="8"/>
                <c:pt idx="0">
                  <c:v>المجموعة التجريبية</c:v>
                </c:pt>
                <c:pt idx="1">
                  <c:v>الوسط الحسابي</c:v>
                </c:pt>
                <c:pt idx="2">
                  <c:v>الانحراف المعياري</c:v>
                </c:pt>
                <c:pt idx="3">
                  <c:v>التباين</c:v>
                </c:pt>
                <c:pt idx="4">
                  <c:v>المجموعة الضابطة</c:v>
                </c:pt>
                <c:pt idx="5">
                  <c:v>الوسط الحسابي</c:v>
                </c:pt>
                <c:pt idx="6">
                  <c:v>الانحراف المعياري</c:v>
                </c:pt>
                <c:pt idx="7">
                  <c:v>التباين</c:v>
                </c:pt>
              </c:strCache>
            </c:strRef>
          </c:cat>
          <c:val>
            <c:numRef>
              <c:f>ورقة1!$G$7:$G$14</c:f>
              <c:numCache>
                <c:formatCode>General</c:formatCode>
                <c:ptCount val="8"/>
              </c:numCache>
            </c:numRef>
          </c:val>
        </c:ser>
        <c:ser>
          <c:idx val="1"/>
          <c:order val="1"/>
          <c:invertIfNegative val="0"/>
          <c:dLbls>
            <c:dLbl>
              <c:idx val="1"/>
              <c:layout>
                <c:manualLayout>
                  <c:x val="1.1514286102838181E-2"/>
                  <c:y val="-0.21697896458594851"/>
                </c:manualLayout>
              </c:layout>
              <c:tx>
                <c:rich>
                  <a:bodyPr/>
                  <a:lstStyle/>
                  <a:p>
                    <a:r>
                      <a:rPr lang="ar-IQ"/>
                      <a:t>80.667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14286102838181E-2"/>
                  <c:y val="-9.1806966158215736E-2"/>
                </c:manualLayout>
              </c:layout>
              <c:tx>
                <c:rich>
                  <a:bodyPr/>
                  <a:lstStyle/>
                  <a:p>
                    <a:r>
                      <a:rPr lang="ar-IQ"/>
                      <a:t>8.603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6119928014179576E-2"/>
                  <c:y val="-0.14634156237716661"/>
                </c:manualLayout>
              </c:layout>
              <c:tx>
                <c:rich>
                  <a:bodyPr/>
                  <a:lstStyle/>
                  <a:p>
                    <a:r>
                      <a:rPr lang="ar-IQ"/>
                      <a:t>74.023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3816925734024179E-2"/>
                  <c:y val="-0.17479674796747968"/>
                </c:manualLayout>
              </c:layout>
              <c:tx>
                <c:rich>
                  <a:bodyPr/>
                  <a:lstStyle/>
                  <a:p>
                    <a:r>
                      <a:rPr lang="ar-IQ"/>
                      <a:t>64.600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6.9084628670120895E-3"/>
                  <c:y val="-8.943089430894309E-2"/>
                </c:manualLayout>
              </c:layout>
              <c:tx>
                <c:rich>
                  <a:bodyPr/>
                  <a:lstStyle/>
                  <a:p>
                    <a:r>
                      <a:rPr lang="ar-IQ"/>
                      <a:t>15.526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3.6264896939696009E-7"/>
                  <c:y val="-0.36907426426769119"/>
                </c:manualLayout>
              </c:layout>
              <c:tx>
                <c:rich>
                  <a:bodyPr/>
                  <a:lstStyle/>
                  <a:p>
                    <a:r>
                      <a:rPr lang="ar-IQ"/>
                      <a:t>241.145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/>
                </a:pPr>
                <a:endParaRPr lang="ar-IQ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ورقة1!$F$7:$F$14</c:f>
              <c:strCache>
                <c:ptCount val="8"/>
                <c:pt idx="0">
                  <c:v>المجموعة التجريبية</c:v>
                </c:pt>
                <c:pt idx="1">
                  <c:v>الوسط الحسابي</c:v>
                </c:pt>
                <c:pt idx="2">
                  <c:v>الانحراف المعياري</c:v>
                </c:pt>
                <c:pt idx="3">
                  <c:v>التباين</c:v>
                </c:pt>
                <c:pt idx="4">
                  <c:v>المجموعة الضابطة</c:v>
                </c:pt>
                <c:pt idx="5">
                  <c:v>الوسط الحسابي</c:v>
                </c:pt>
                <c:pt idx="6">
                  <c:v>الانحراف المعياري</c:v>
                </c:pt>
                <c:pt idx="7">
                  <c:v>التباين</c:v>
                </c:pt>
              </c:strCache>
            </c:strRef>
          </c:cat>
          <c:val>
            <c:numRef>
              <c:f>ورقة1!$H$7:$H$14</c:f>
              <c:numCache>
                <c:formatCode>General</c:formatCode>
                <c:ptCount val="8"/>
                <c:pt idx="1">
                  <c:v>80.667000000000002</c:v>
                </c:pt>
                <c:pt idx="2">
                  <c:v>7.0579999999999998</c:v>
                </c:pt>
                <c:pt idx="3">
                  <c:v>49.816000000000003</c:v>
                </c:pt>
                <c:pt idx="5">
                  <c:v>64.599999999999994</c:v>
                </c:pt>
                <c:pt idx="6">
                  <c:v>12.045</c:v>
                </c:pt>
                <c:pt idx="7">
                  <c:v>145.07599999999999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box"/>
        <c:axId val="32510720"/>
        <c:axId val="32512256"/>
        <c:axId val="0"/>
      </c:bar3DChart>
      <c:catAx>
        <c:axId val="32510720"/>
        <c:scaling>
          <c:orientation val="maxMin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100" b="1"/>
            </a:pPr>
            <a:endParaRPr lang="ar-IQ"/>
          </a:p>
        </c:txPr>
        <c:crossAx val="32512256"/>
        <c:crosses val="autoZero"/>
        <c:auto val="1"/>
        <c:lblAlgn val="ctr"/>
        <c:lblOffset val="100"/>
        <c:noMultiLvlLbl val="0"/>
      </c:catAx>
      <c:valAx>
        <c:axId val="32512256"/>
        <c:scaling>
          <c:orientation val="minMax"/>
        </c:scaling>
        <c:delete val="1"/>
        <c:axPos val="r"/>
        <c:numFmt formatCode="General" sourceLinked="1"/>
        <c:majorTickMark val="out"/>
        <c:minorTickMark val="none"/>
        <c:tickLblPos val="nextTo"/>
        <c:crossAx val="32510720"/>
        <c:crosses val="autoZero"/>
        <c:crossBetween val="between"/>
      </c:valAx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6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ar-IQ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IQ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ar-IQ" sz="1600"/>
              <a:t>اختبار عمليات العلم</a:t>
            </a:r>
          </a:p>
        </c:rich>
      </c:tx>
      <c:overlay val="0"/>
    </c:title>
    <c:autoTitleDeleted val="0"/>
    <c:view3D>
      <c:rotX val="15"/>
      <c:rotY val="34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cat>
            <c:strRef>
              <c:f>ورقة1!$F$7:$F$14</c:f>
              <c:strCache>
                <c:ptCount val="8"/>
                <c:pt idx="0">
                  <c:v>المجموعة التجريبية</c:v>
                </c:pt>
                <c:pt idx="1">
                  <c:v>الوسط الحسابي</c:v>
                </c:pt>
                <c:pt idx="2">
                  <c:v>الانحراف المعياري</c:v>
                </c:pt>
                <c:pt idx="3">
                  <c:v>التباين</c:v>
                </c:pt>
                <c:pt idx="4">
                  <c:v>المجموعة الضابطة</c:v>
                </c:pt>
                <c:pt idx="5">
                  <c:v>الوسط الحسابي</c:v>
                </c:pt>
                <c:pt idx="6">
                  <c:v>الانحراف المعياري</c:v>
                </c:pt>
                <c:pt idx="7">
                  <c:v>التباين</c:v>
                </c:pt>
              </c:strCache>
            </c:strRef>
          </c:cat>
          <c:val>
            <c:numRef>
              <c:f>ورقة1!$G$7:$G$14</c:f>
              <c:numCache>
                <c:formatCode>General</c:formatCode>
                <c:ptCount val="8"/>
              </c:numCache>
            </c:numRef>
          </c:val>
        </c:ser>
        <c:ser>
          <c:idx val="1"/>
          <c:order val="1"/>
          <c:invertIfNegative val="0"/>
          <c:dLbls>
            <c:dLbl>
              <c:idx val="1"/>
              <c:layout>
                <c:manualLayout>
                  <c:x val="1.3913043478260955E-2"/>
                  <c:y val="-0.13836477987421383"/>
                </c:manualLayout>
              </c:layout>
              <c:tx>
                <c:rich>
                  <a:bodyPr/>
                  <a:lstStyle/>
                  <a:p>
                    <a:pPr>
                      <a:defRPr b="1"/>
                    </a:pPr>
                    <a:r>
                      <a:rPr lang="ar-IQ" sz="1100" b="1"/>
                      <a:t>78.200</a:t>
                    </a:r>
                    <a:endParaRPr lang="en-US" sz="1100" b="1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94202898550725E-2"/>
                  <c:y val="-7.1278825995807121E-2"/>
                </c:manualLayout>
              </c:layout>
              <c:tx>
                <c:rich>
                  <a:bodyPr/>
                  <a:lstStyle/>
                  <a:p>
                    <a:pPr>
                      <a:defRPr sz="1100" b="1"/>
                    </a:pPr>
                    <a:r>
                      <a:rPr lang="ar-IQ"/>
                      <a:t>11.121</a:t>
                    </a:r>
                    <a:endParaRPr lang="en-US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1594443551698894E-2"/>
                  <c:y val="-0.13417194016392123"/>
                </c:manualLayout>
              </c:layout>
              <c:tx>
                <c:rich>
                  <a:bodyPr/>
                  <a:lstStyle/>
                  <a:p>
                    <a:pPr>
                      <a:defRPr sz="1100" b="1"/>
                    </a:pPr>
                    <a:r>
                      <a:rPr lang="ar-IQ"/>
                      <a:t>123.682</a:t>
                    </a:r>
                    <a:endParaRPr lang="en-US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8397164640134227E-2"/>
                  <c:y val="-0.12159315975073667"/>
                </c:manualLayout>
              </c:layout>
              <c:tx>
                <c:rich>
                  <a:bodyPr/>
                  <a:lstStyle/>
                  <a:p>
                    <a:pPr>
                      <a:defRPr sz="1100" b="1"/>
                    </a:pPr>
                    <a:r>
                      <a:rPr lang="ar-IQ"/>
                      <a:t>60.267</a:t>
                    </a:r>
                    <a:endParaRPr lang="en-US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9.2753623188405795E-3"/>
                  <c:y val="-8.8050314465408799E-2"/>
                </c:manualLayout>
              </c:layout>
              <c:tx>
                <c:rich>
                  <a:bodyPr/>
                  <a:lstStyle/>
                  <a:p>
                    <a:pPr>
                      <a:defRPr sz="1100" b="1"/>
                    </a:pPr>
                    <a:r>
                      <a:rPr lang="ar-IQ"/>
                      <a:t>17.575</a:t>
                    </a:r>
                    <a:endParaRPr lang="en-US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9.4295355937650555E-3"/>
                  <c:y val="-0.3186583578893129"/>
                </c:manualLayout>
              </c:layout>
              <c:tx>
                <c:rich>
                  <a:bodyPr/>
                  <a:lstStyle/>
                  <a:p>
                    <a:pPr>
                      <a:defRPr sz="1100" b="1"/>
                    </a:pPr>
                    <a:r>
                      <a:rPr lang="ar-IQ"/>
                      <a:t>308.892</a:t>
                    </a:r>
                    <a:endParaRPr lang="en-US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ورقة1!$F$7:$F$14</c:f>
              <c:strCache>
                <c:ptCount val="8"/>
                <c:pt idx="0">
                  <c:v>المجموعة التجريبية</c:v>
                </c:pt>
                <c:pt idx="1">
                  <c:v>الوسط الحسابي</c:v>
                </c:pt>
                <c:pt idx="2">
                  <c:v>الانحراف المعياري</c:v>
                </c:pt>
                <c:pt idx="3">
                  <c:v>التباين</c:v>
                </c:pt>
                <c:pt idx="4">
                  <c:v>المجموعة الضابطة</c:v>
                </c:pt>
                <c:pt idx="5">
                  <c:v>الوسط الحسابي</c:v>
                </c:pt>
                <c:pt idx="6">
                  <c:v>الانحراف المعياري</c:v>
                </c:pt>
                <c:pt idx="7">
                  <c:v>التباين</c:v>
                </c:pt>
              </c:strCache>
            </c:strRef>
          </c:cat>
          <c:val>
            <c:numRef>
              <c:f>ورقة1!$H$7:$H$14</c:f>
              <c:numCache>
                <c:formatCode>General</c:formatCode>
                <c:ptCount val="8"/>
                <c:pt idx="1">
                  <c:v>78.2</c:v>
                </c:pt>
                <c:pt idx="2">
                  <c:v>8.6560000000000006</c:v>
                </c:pt>
                <c:pt idx="3">
                  <c:v>74.924000000000007</c:v>
                </c:pt>
                <c:pt idx="5">
                  <c:v>60.267000000000003</c:v>
                </c:pt>
                <c:pt idx="6">
                  <c:v>15.821999999999999</c:v>
                </c:pt>
                <c:pt idx="7">
                  <c:v>250.34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box"/>
        <c:axId val="31848320"/>
        <c:axId val="31849856"/>
        <c:axId val="0"/>
      </c:bar3DChart>
      <c:catAx>
        <c:axId val="31848320"/>
        <c:scaling>
          <c:orientation val="maxMin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100" b="1"/>
            </a:pPr>
            <a:endParaRPr lang="ar-IQ"/>
          </a:p>
        </c:txPr>
        <c:crossAx val="31849856"/>
        <c:crosses val="autoZero"/>
        <c:auto val="1"/>
        <c:lblAlgn val="ctr"/>
        <c:lblOffset val="100"/>
        <c:noMultiLvlLbl val="0"/>
      </c:catAx>
      <c:valAx>
        <c:axId val="31849856"/>
        <c:scaling>
          <c:orientation val="minMax"/>
        </c:scaling>
        <c:delete val="1"/>
        <c:axPos val="r"/>
        <c:numFmt formatCode="General" sourceLinked="1"/>
        <c:majorTickMark val="out"/>
        <c:minorTickMark val="none"/>
        <c:tickLblPos val="nextTo"/>
        <c:crossAx val="31848320"/>
        <c:crosses val="autoZero"/>
        <c:crossBetween val="between"/>
      </c:valAx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6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ar-IQ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9F9ED-6C2E-499F-B0E2-0A2F699BA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8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9417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203</cp:revision>
  <cp:lastPrinted>2019-12-25T10:30:00Z</cp:lastPrinted>
  <dcterms:created xsi:type="dcterms:W3CDTF">2017-01-25T16:37:00Z</dcterms:created>
  <dcterms:modified xsi:type="dcterms:W3CDTF">2019-12-25T10:30:00Z</dcterms:modified>
</cp:coreProperties>
</file>