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وعلاقته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للاعبي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المتقدمين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علاء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جواد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كاظم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     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ماجد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شندي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وعلوم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ميسان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العراق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شيماء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جاسم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        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الطب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العراق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ملخص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left="16" w:firstLine="704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جاءت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الابحاث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تناولت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ربطا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بلور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الخوض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وتبلورت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مشكلتهم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انتاج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واجب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صدارة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الاوامر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الناقلة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للأوامر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ارتأى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ايمانا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بفهم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وانتاج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وهدفت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واستنتج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اظهرت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معنوية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الايسر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وتفوق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اليمين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باعتبارها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لديهم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بالبحث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1-1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وأهمية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نراه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وملحوظ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اخذ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خطوات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الأمام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تكافؤ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وتداخل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النظرية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والتطبيقية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شانها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ترفد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وتزيد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إمكانية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الأفضل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بالذكر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الجانب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الرئيسي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وجهة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نجعل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مجتمعنا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يعايش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التطور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نتناول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أدواته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بالفهم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والإدراك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نتطلع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الأفضل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لحل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مشكلاته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التقدم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وأولى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فهمه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لجملة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,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أهمها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الفسلجة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يسهل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فهمنا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السيالات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وتوجيه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السلوك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للعمليات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الإرادية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واللاإرادية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التحسس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بالمؤثرات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أوالتغيرات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محيط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داخله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وخارجه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تأثيراتها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الرئيسي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السيطرة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حركات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وتنسيقها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وتنظيمها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وتعديلها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بالذكر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تعكس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الوظيفية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إتقان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تتميز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وأيضا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بمستواه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اطول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ممكنة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لتعكس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وإتقان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القدرات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المرتكزات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تبنى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اجلها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المناهج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للسعي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التطوير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وزيادة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انسجام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اللعبة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المطلب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المكونات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اللازمة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تطوير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للاعب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المباراة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وتزداد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أهميتها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وتظهر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بوضوح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اشتد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التنافس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يتمتعون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بالذكر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تعكس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الوظيفية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إتقان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تتميز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الفائقة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اشكال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للاعب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بدورها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تعكس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وتكيفه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المدربين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التركيز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وتطويرها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يمتلكوها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يخدم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الممكنة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أصبحت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اللعب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لمعظم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المتقدمة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المناهج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المقننة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المؤشرات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الفسيولوجية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تعطي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مؤشرا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دقيقا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الحاصلة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هكذا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مؤشر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ملائمة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لقابليات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الوظيفية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تطورها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اجل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النواحي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الايجابية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والسلبية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المتبعة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ومحاولة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تقويمها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وعلاقتها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تعطي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مزيد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للمدربين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ولكون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هكذا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الخوض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1-2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0" w:line="192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  <w:tab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اطلاع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لأحظو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القدر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الكافي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فجاءت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الابحاث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تناولت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ربطا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بلور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الخوض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وتبلورت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مشكلتهم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انتاج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واجب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صدارة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الاوامر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الناقلة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للأوامر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مراكز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التحكم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ارتأى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ايمانا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بفهم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وانتاج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تجلت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وعلاقته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192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1-3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left="0" w:firstLine="1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left="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left="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التعرف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1-4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فروض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tabs>
          <w:tab w:val="left" w:pos="2921"/>
        </w:tabs>
        <w:bidi w:val="1"/>
        <w:spacing w:after="0" w:line="240" w:lineRule="auto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منهجية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وإجراءاته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الميدانية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3-1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الملائم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الخطوات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نجاح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الوصفي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لملاءمته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3–2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26" w:firstLine="694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بصورة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عمدية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منتخب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محافظة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ميسان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فئة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للموسم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2016-2017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والبالغ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عددهم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(5)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مثلت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نسبتهم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(65%)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الاصلي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التجانس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لأفراد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متغيرات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الطول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والوزن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والعمر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الزمني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والعمر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تجانس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26" w:firstLine="694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3–3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اجراءات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الميدانية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الخميس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المصادف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(20/7/2017)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خاص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BATAK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MICRO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قياس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تخطيط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اجري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الفحص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والاختبار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عيادة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الدكتورة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المختصة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Symbol" w:cs="Symbol" w:eastAsia="Symbol" w:hAnsi="Symbol"/>
          <w:sz w:val="28"/>
          <w:szCs w:val="28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فسلجة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محافظة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3–4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المعالجات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الإحصائية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استخدم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الحقيبة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الإحصائية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SPSS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425"/>
        </w:tabs>
        <w:bidi w:val="1"/>
        <w:spacing w:after="0" w:line="240" w:lineRule="auto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وتحليل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ومناقشة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4-1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الأيمن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للاعبي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(1)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يبين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الأوساط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الحسابية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والانحرافات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المعيارية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وقيمتي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المحسوبة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والجدولية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962.0" w:type="dxa"/>
        <w:jc w:val="left"/>
        <w:tblInd w:w="4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4"/>
        <w:gridCol w:w="913"/>
        <w:gridCol w:w="1092"/>
        <w:gridCol w:w="1091"/>
        <w:gridCol w:w="1196"/>
        <w:gridCol w:w="1115"/>
        <w:gridCol w:w="935"/>
        <w:gridCol w:w="976"/>
        <w:tblGridChange w:id="0">
          <w:tblGrid>
            <w:gridCol w:w="1644"/>
            <w:gridCol w:w="913"/>
            <w:gridCol w:w="1092"/>
            <w:gridCol w:w="1091"/>
            <w:gridCol w:w="1196"/>
            <w:gridCol w:w="1115"/>
            <w:gridCol w:w="935"/>
            <w:gridCol w:w="976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المتغيرات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القياس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الوسط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الحسابي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الانحراف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المعياري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المحسوبة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الجدولية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الدلالة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الدلالة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استجابة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حركية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ثا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114,60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1,140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0,942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0,811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0.017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معنوي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توصيل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عصبي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ذراع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ايمن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ثا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56,80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1,130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-2)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(0.05)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يلاحظ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الوسط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للاعبي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(114,60)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والانحراف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المعياري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(1,140) 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الوسط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لقياس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الأيمن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(56,80)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والانحراف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المعياري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(1,130)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وبلغت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البسيط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(0,942)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والبالغة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(0,811)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(0,017)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اصغر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(0,05)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معنوية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4-2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بسرعة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   (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الأيسر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للاعبي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جدول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(2)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center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يبين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الأوساط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الحسابية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والانحرافات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المعيارية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وقيمتي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المحسوبة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والجدولية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854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1"/>
        <w:gridCol w:w="914"/>
        <w:gridCol w:w="1079"/>
        <w:gridCol w:w="1092"/>
        <w:gridCol w:w="1197"/>
        <w:gridCol w:w="1117"/>
        <w:gridCol w:w="935"/>
        <w:gridCol w:w="869"/>
        <w:tblGridChange w:id="0">
          <w:tblGrid>
            <w:gridCol w:w="1651"/>
            <w:gridCol w:w="914"/>
            <w:gridCol w:w="1079"/>
            <w:gridCol w:w="1092"/>
            <w:gridCol w:w="1197"/>
            <w:gridCol w:w="1117"/>
            <w:gridCol w:w="935"/>
            <w:gridCol w:w="869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المتغيرات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القياس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الوسط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الحسابي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الانحراف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المعياري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المحسوبة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الجدولية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الدلالة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الدلالة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استجابة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حركية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ثا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1,140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0,923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0,811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0,025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معنوي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سرعة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توصيل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عصبي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حركي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ذراع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أيسر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ثا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52,40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1,40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درجة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الحرية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-2)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ومستوى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(0.05)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يلاحظ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(19)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الوسط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للاعبي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(114)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والانحراف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المعياري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(1,140) 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الوسط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لقياس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التوصيل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الأيسر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(52,40)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والانحراف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المعياري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(1,40)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وبلغت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البسيط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بينهما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(0,923)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والبالغة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(0,811)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(0,025)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اصغر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(0,05)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معنوية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4-3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مناقشة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للذراعين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ind w:left="28" w:firstLine="692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اظهرت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(1)(2)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للأعصاب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نسب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متفاوتة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صعيد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المدروسة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والناتجة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الممارس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المدروسة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ويعزو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التفاوت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مؤشر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سيتم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التطرق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لاحقا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وقبل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التطرق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الحاصلة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المنتظم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ولفترات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بإحداث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بصفته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المهيمن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مجمل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الافعال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الحيوية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تتصف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بجملة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الصفات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بحكم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العمرين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والبيولوجي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السيطرة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والتحكم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وظائف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يساهم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الايجابي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ويتفق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اشار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محمود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"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جدا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السيطرة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والأعصاب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وترددها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وسعتها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يساهم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تجانس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الاتزان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وصول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المؤكسد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والغذاء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قشرة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المخ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بكميات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كافية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".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ind w:left="28" w:firstLine="692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التطور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الوظيفي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لأفعال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التغيرات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البيئة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ينعكس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فعلها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خارجيا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الامثل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وظيفة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والسيطرة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الكهربائي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وسريانه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وكلما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مثاليا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تمكنا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الامثل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رياضيا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احداث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اكبر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انقباض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الالياف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استثارة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الاكبر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تدخل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وظيفتها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فاعل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ويتفق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اشار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محجوب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"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ابتداء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التهيئة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الانجاز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العمليات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البايوكيميائية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والفسيولوجية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والسيطرة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النشاطات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الكهربائي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احدى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المظاهر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الفريدة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للعصب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وكلما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الكهربائي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منتظم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ومتسلسل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توصف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الناتجة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بفعل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ماهرة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للمهارة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المعقدة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بوقت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استثارة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اكبر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الالياف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التنبيه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الكهربائي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الوصول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الانشطة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يتحقق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والبيولوجي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vertAlign w:val="superscript"/>
        </w:rPr>
        <w:footnoteReference w:customMarkFollows="0" w:id="3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vertAlign w:val="superscript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ind w:left="28" w:firstLine="692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الاحصائية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(1)(2)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للأعصاب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متباينة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فعالية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وأخرى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يعزوها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انعكاسات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الناتجة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نشاط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بدنيا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مهاريا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لإتمام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النشاط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يحتاجه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رياضيو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الصفة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تنتج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بتضافر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جمله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البايلوجية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وظيفة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يؤدي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المتكرر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ومسبباته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المسببات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وربطا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بحاجة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تأخذ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فعالية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نصيبها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نفسر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التباين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سلف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وبما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الصفات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ترتبط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وثيقا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ناتج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معنوي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نفسر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التفاوت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تحتاجه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تميز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بامتلاكهم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قدر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يحتاجه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استثنائية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السيالات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الاستثارة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المستمرة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يتميز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للفعالية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لتنفيذ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اللكمات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والدفاع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يصدر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المنافس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لكمات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تحصل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مفاجئ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التهيئة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مسبقا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يولد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عبئا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عصبيا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السيالات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يعزون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حصوله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المركبة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وبمختلف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أجزاء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بانسيابية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وحسن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يعكس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تكيف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الناتج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المنتظم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والمبرمج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والمتوافق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والمهارة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المنتظمة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وانتظام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الحوافز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الاستثارة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والتثبيط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راي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بانسيابية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وعامل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الحوافز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اعضاء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الدماغ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والصادرة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لتنفيذ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تبرز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للتحكم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بالإثارة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ودرجة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والمهاري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فالتوازن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تساعد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رفع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الخلايا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الدماغية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تحويل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المثيرات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4"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(1)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ind w:left="28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الحاصلة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ينسجم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والحاجة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والاستثارة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.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5"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ind w:left="28" w:firstLine="692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المعالجات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الاحصائية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سالفة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الذكر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والخاصة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الفروق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الايسر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والايمن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هنالك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تفاوتا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ايضا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كلتا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ثبات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امتلاك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مؤشر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دلت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تفوق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اليمنى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بصفتها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الرغم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تشابه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للعبة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التطبع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عضلية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الاخذ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كمؤشرات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معتمدة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دراستنا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معيارا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ونتيجة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داعمة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لتأثر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الخاصية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واستخدام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المجاميع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العضلية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اساسي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C">
      <w:pPr>
        <w:bidi w:val="1"/>
        <w:spacing w:after="0" w:line="240" w:lineRule="auto"/>
        <w:ind w:left="28" w:firstLine="692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اللكمات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اليمنى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تفوقا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وارجحية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لمؤشر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اليمنى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مقارنتا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بمؤشرات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مقارنتا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انتجته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اليمنى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الرغم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الاحتفاظ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بالفروق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وهذه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يؤكد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ارجحية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فرضية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تأثير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 "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ترتبط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تكيفات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تكرار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المنفذة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6"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(1)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="240" w:lineRule="auto"/>
        <w:ind w:left="28" w:firstLine="692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الذكر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والخاصة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دلت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الاخرى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لاعبو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ويعزو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صفة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يتطلبه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للعبة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بقدر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الامر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توفير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يتطلبه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سيالات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بقدر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نجد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منسجمه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والحاجة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المتباينة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قيد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مقدار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ينتج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وثيقا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بكفاءة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وطبيعة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الفني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</w:rPr>
        <w:footnoteReference w:customMarkFollows="0" w:id="7"/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الاستنتاجــات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والتوصيــات</w:t>
      </w:r>
    </w:p>
    <w:p w:rsidR="00000000" w:rsidDel="00000000" w:rsidP="00000000" w:rsidRDefault="00000000" w:rsidRPr="00000000" w14:paraId="00000080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5-1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الاستنتاجــات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="240" w:lineRule="auto"/>
        <w:ind w:left="16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اظهرت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ارتباط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معنوية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الايسر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الاستجابة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افراد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عينة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     </w:t>
      </w:r>
    </w:p>
    <w:p w:rsidR="00000000" w:rsidDel="00000000" w:rsidP="00000000" w:rsidRDefault="00000000" w:rsidRPr="00000000" w14:paraId="00000082">
      <w:pPr>
        <w:bidi w:val="1"/>
        <w:spacing w:after="0" w:line="240" w:lineRule="auto"/>
        <w:ind w:left="16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اظهرت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تفوق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اليمين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للاعبوا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سريان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الاشارة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باعتبارها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الذراع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لديهم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both"/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4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توصل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اليها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بمتناول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الاندية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والمنتخبات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للاستفادة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وبحوث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مشابهة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فئات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عمرية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اضافة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متغيرات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مختلفة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بهدف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ايصال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افضل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أجراء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بالجهاز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والأعصاب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أثناء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السباقات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دوري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للوقوف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سلامة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وسلامة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الجهاز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العصبي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إدخال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تمرينات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لتطوير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الأعصاب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والحركية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87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1"/>
        <w:bidi w:val="1"/>
        <w:spacing w:after="0" w:line="240" w:lineRule="auto"/>
        <w:ind w:left="368" w:hanging="368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والمراجع</w:t>
      </w:r>
    </w:p>
    <w:p w:rsidR="00000000" w:rsidDel="00000000" w:rsidP="00000000" w:rsidRDefault="00000000" w:rsidRPr="00000000" w14:paraId="00000089">
      <w:pPr>
        <w:keepNext w:val="1"/>
        <w:bidi w:val="1"/>
        <w:spacing w:after="0" w:line="240" w:lineRule="auto"/>
        <w:ind w:left="368" w:hanging="368"/>
        <w:jc w:val="center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1979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315 .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الفسيولوجي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وائل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3,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2002.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موسوعة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ألعاب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القوى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تكتيك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تحكيم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1990.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محجوب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فسيولوجيا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 ،2003.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van pree  an d associates, from bin, articlc,  1999 ,pl  .                 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Amerecian Kinesiology , Physiology of Exercise /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rtl w:val="0"/>
        </w:rPr>
        <w:t xml:space="preserve">Neurological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Control of movement , Lecture , 2003.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Simplified Arabic" w:cs="Simplified Arabic" w:eastAsia="Simplified Arabic" w:hAnsi="Simplified Arab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/>
      <w:pgMar w:bottom="1134" w:top="1134" w:left="1134" w:right="1701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Symbol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شيماء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جاسم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الشريفي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اختصاصية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فسلجة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الاعصاب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</w:t>
      </w:r>
    </w:p>
  </w:footnote>
  <w:footnote w:id="1">
    <w:p w:rsidR="00000000" w:rsidDel="00000000" w:rsidP="00000000" w:rsidRDefault="00000000" w:rsidRPr="00000000" w14:paraId="00000094">
      <w:pPr>
        <w:bidi w:val="1"/>
        <w:spacing w:after="0" w:line="240" w:lineRule="auto"/>
        <w:ind w:left="26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vertAlign w:val="superscript"/>
          <w:rtl w:val="0"/>
        </w:rPr>
        <w:t xml:space="preserve">))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محمود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يونس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النفس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الفسيولوجي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، ،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وائل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للنشر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والتوزيع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3 ,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عمان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، 2002.</w:t>
      </w:r>
    </w:p>
  </w:footnote>
  <w:footnote w:id="2"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وجيه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محجوب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فسيولوجيا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 ،2003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3">
    <w:p w:rsidR="00000000" w:rsidDel="00000000" w:rsidP="00000000" w:rsidRDefault="00000000" w:rsidRPr="00000000" w14:paraId="00000096">
      <w:pPr>
        <w:tabs>
          <w:tab w:val="left" w:pos="26"/>
          <w:tab w:val="left" w:pos="368"/>
        </w:tabs>
        <w:bidi w:val="1"/>
        <w:spacing w:after="0" w:before="60" w:line="240" w:lineRule="auto"/>
        <w:ind w:firstLine="26"/>
        <w:jc w:val="both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vertAlign w:val="superscript"/>
          <w:rtl w:val="0"/>
        </w:rPr>
        <w:t xml:space="preserve">(3)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موسوعة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ألعاب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القوى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تكتيك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 –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0"/>
          <w:szCs w:val="20"/>
          <w:u w:val="single"/>
          <w:rtl w:val="1"/>
        </w:rPr>
        <w:t xml:space="preserve">تحكيم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القلم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للنشر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والتوزيع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، 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1 ،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1"/>
        </w:rPr>
        <w:t xml:space="preserve"> 1990.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98">
      <w:pPr>
        <w:bidi w:val="1"/>
        <w:spacing w:after="0" w:line="240" w:lineRule="auto"/>
        <w:ind w:left="720"/>
        <w:jc w:val="right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vertAlign w:val="superscript"/>
          <w:rtl w:val="0"/>
        </w:rPr>
        <w:t xml:space="preserve">1,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0"/>
        </w:rPr>
        <w:t xml:space="preserve"> van pree  an d associates, 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u w:val="single"/>
          <w:rtl w:val="0"/>
        </w:rPr>
        <w:t xml:space="preserve">from bin, articlc</w:t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0"/>
        </w:rPr>
        <w:t xml:space="preserve">,  1999 ,pl      </w:t>
      </w:r>
    </w:p>
  </w:footnote>
  <w:footnote w:id="5"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  van pree  an d associates: previous  source  , p98      </w:t>
      </w:r>
    </w:p>
  </w:footnote>
  <w:footnote w:id="6">
    <w:p w:rsidR="00000000" w:rsidDel="00000000" w:rsidP="00000000" w:rsidRDefault="00000000" w:rsidRPr="00000000" w14:paraId="0000009A">
      <w:pPr>
        <w:spacing w:after="0" w:line="240" w:lineRule="auto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sz w:val="20"/>
          <w:szCs w:val="20"/>
          <w:rtl w:val="0"/>
        </w:rPr>
        <w:t xml:space="preserve">1-Amerecian Kinesiology , Physiology of Exercise / Neurological Control of movement , Lecture , 2003</w:t>
      </w:r>
    </w:p>
  </w:footnote>
  <w:footnote w:id="7"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(2)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نصيف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للمرحلة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2: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مديرية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1979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315 .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951"/>
        <w:tab w:val="right" w:pos="9071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5"/>
      <w:numFmt w:val="decimal"/>
      <w:lvlText w:val="%1"/>
      <w:lvlJc w:val="left"/>
      <w:pPr>
        <w:ind w:left="495" w:hanging="495"/>
      </w:pPr>
      <w:rPr/>
    </w:lvl>
    <w:lvl w:ilvl="1">
      <w:start w:val="2"/>
      <w:numFmt w:val="decimal"/>
      <w:lvlText w:val="%1-%2"/>
      <w:lvlJc w:val="left"/>
      <w:pPr>
        <w:ind w:left="720" w:hanging="720"/>
      </w:pPr>
      <w:rPr/>
    </w:lvl>
    <w:lvl w:ilvl="2">
      <w:start w:val="1"/>
      <w:numFmt w:val="decimal"/>
      <w:lvlText w:val="%1-%2.%3"/>
      <w:lvlJc w:val="left"/>
      <w:pPr>
        <w:ind w:left="720" w:hanging="720"/>
      </w:pPr>
      <w:rPr/>
    </w:lvl>
    <w:lvl w:ilvl="3">
      <w:start w:val="1"/>
      <w:numFmt w:val="decimal"/>
      <w:lvlText w:val="%1-%2.%3.%4"/>
      <w:lvlJc w:val="left"/>
      <w:pPr>
        <w:ind w:left="1080" w:hanging="1080"/>
      </w:pPr>
      <w:rPr/>
    </w:lvl>
    <w:lvl w:ilvl="4">
      <w:start w:val="1"/>
      <w:numFmt w:val="decimal"/>
      <w:lvlText w:val="%1-%2.%3.%4.%5"/>
      <w:lvlJc w:val="left"/>
      <w:pPr>
        <w:ind w:left="1440" w:hanging="1440"/>
      </w:pPr>
      <w:rPr/>
    </w:lvl>
    <w:lvl w:ilvl="5">
      <w:start w:val="1"/>
      <w:numFmt w:val="decimal"/>
      <w:lvlText w:val="%1-%2.%3.%4.%5.%6"/>
      <w:lvlJc w:val="left"/>
      <w:pPr>
        <w:ind w:left="1440" w:hanging="1440"/>
      </w:pPr>
      <w:rPr/>
    </w:lvl>
    <w:lvl w:ilvl="6">
      <w:start w:val="1"/>
      <w:numFmt w:val="decimal"/>
      <w:lvlText w:val="%1-%2.%3.%4.%5.%6.%7"/>
      <w:lvlJc w:val="left"/>
      <w:pPr>
        <w:ind w:left="1800" w:hanging="1800"/>
      </w:pPr>
      <w:rPr/>
    </w:lvl>
    <w:lvl w:ilvl="7">
      <w:start w:val="1"/>
      <w:numFmt w:val="decimal"/>
      <w:lvlText w:val="%1-%2.%3.%4.%5.%6.%7.%8"/>
      <w:lvlJc w:val="left"/>
      <w:pPr>
        <w:ind w:left="2160" w:hanging="2160"/>
      </w:pPr>
      <w:rPr/>
    </w:lvl>
    <w:lvl w:ilvl="8">
      <w:start w:val="1"/>
      <w:numFmt w:val="decimal"/>
      <w:lvlText w:val="%1-%2.%3.%4.%5.%6.%7.%8.%9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52475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52475"/>
  </w:style>
  <w:style w:type="paragraph" w:styleId="a4">
    <w:name w:val="footnote text"/>
    <w:basedOn w:val="a"/>
    <w:link w:val="Char0"/>
    <w:uiPriority w:val="99"/>
    <w:unhideWhenUsed w:val="1"/>
    <w:rsid w:val="00952475"/>
    <w:pPr>
      <w:spacing w:after="0" w:line="240" w:lineRule="auto"/>
    </w:pPr>
    <w:rPr>
      <w:sz w:val="20"/>
      <w:szCs w:val="20"/>
    </w:rPr>
  </w:style>
  <w:style w:type="character" w:styleId="Char0" w:customStyle="1">
    <w:name w:val="نص حاشية سفلية Char"/>
    <w:basedOn w:val="a0"/>
    <w:link w:val="a4"/>
    <w:uiPriority w:val="99"/>
    <w:rsid w:val="00952475"/>
    <w:rPr>
      <w:sz w:val="20"/>
      <w:szCs w:val="20"/>
    </w:rPr>
  </w:style>
  <w:style w:type="character" w:styleId="a5">
    <w:name w:val="footnote reference"/>
    <w:semiHidden w:val="1"/>
    <w:rsid w:val="00952475"/>
    <w:rPr>
      <w:vertAlign w:val="superscript"/>
    </w:rPr>
  </w:style>
  <w:style w:type="paragraph" w:styleId="a6" w:customStyle="1">
    <w:rsid w:val="00952475"/>
  </w:style>
  <w:style w:type="character" w:styleId="a7">
    <w:name w:val="page number"/>
    <w:basedOn w:val="a0"/>
    <w:uiPriority w:val="99"/>
    <w:semiHidden w:val="1"/>
    <w:unhideWhenUsed w:val="1"/>
    <w:rsid w:val="00952475"/>
  </w:style>
  <w:style w:type="paragraph" w:styleId="a8">
    <w:name w:val="List Paragraph"/>
    <w:basedOn w:val="a"/>
    <w:uiPriority w:val="34"/>
    <w:qFormat w:val="1"/>
    <w:rsid w:val="007C4AF0"/>
    <w:pPr>
      <w:ind w:left="720"/>
      <w:contextualSpacing w:val="1"/>
    </w:pPr>
  </w:style>
  <w:style w:type="paragraph" w:styleId="a9">
    <w:name w:val="Balloon Text"/>
    <w:basedOn w:val="a"/>
    <w:link w:val="Char1"/>
    <w:uiPriority w:val="99"/>
    <w:semiHidden w:val="1"/>
    <w:unhideWhenUsed w:val="1"/>
    <w:rsid w:val="00DC3DD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1" w:customStyle="1">
    <w:name w:val="نص في بالون Char"/>
    <w:basedOn w:val="a0"/>
    <w:link w:val="a9"/>
    <w:uiPriority w:val="99"/>
    <w:semiHidden w:val="1"/>
    <w:rsid w:val="00DC3DDF"/>
    <w:rPr>
      <w:rFonts w:ascii="Tahoma" w:cs="Tahoma" w:hAnsi="Tahoma"/>
      <w:sz w:val="16"/>
      <w:szCs w:val="16"/>
    </w:rPr>
  </w:style>
  <w:style w:type="paragraph" w:styleId="aa">
    <w:name w:val="footer"/>
    <w:basedOn w:val="a"/>
    <w:link w:val="Char2"/>
    <w:uiPriority w:val="99"/>
    <w:unhideWhenUsed w:val="1"/>
    <w:rsid w:val="002060A1"/>
    <w:pPr>
      <w:tabs>
        <w:tab w:val="center" w:pos="4153"/>
        <w:tab w:val="right" w:pos="8306"/>
      </w:tabs>
      <w:spacing w:after="0" w:line="240" w:lineRule="auto"/>
    </w:pPr>
  </w:style>
  <w:style w:type="character" w:styleId="Char2" w:customStyle="1">
    <w:name w:val="تذييل الصفحة Char"/>
    <w:basedOn w:val="a0"/>
    <w:link w:val="aa"/>
    <w:uiPriority w:val="99"/>
    <w:rsid w:val="002060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2017-09-16T20:20:00Z</dcterms:created>
  <dc:creator>DR.Ahmed Saker 2O14</dc:creator>
</cp:coreProperties>
</file>