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0B974A" w14:textId="4A423AA3" w:rsidR="00CB24B8" w:rsidRPr="008C0FB5" w:rsidRDefault="007C3C34" w:rsidP="00155784">
      <w:pPr>
        <w:pStyle w:val="35"/>
        <w:sectPr w:rsidR="00CB24B8" w:rsidRPr="008C0FB5" w:rsidSect="00007798">
          <w:headerReference w:type="even" r:id="rId8"/>
          <w:headerReference w:type="default" r:id="rId9"/>
          <w:footnotePr>
            <w:numRestart w:val="eachPage"/>
          </w:footnotePr>
          <w:pgSz w:w="11906" w:h="16838" w:code="9"/>
          <w:pgMar w:top="1701" w:right="1701" w:bottom="1701" w:left="1418" w:header="1418" w:footer="1418" w:gutter="0"/>
          <w:cols w:space="708"/>
          <w:titlePg/>
          <w:bidi/>
          <w:rtlGutter/>
          <w:docGrid w:linePitch="360"/>
        </w:sectPr>
      </w:pPr>
      <w:r w:rsidRPr="008C0FB5">
        <w:rPr>
          <w:noProof/>
        </w:rPr>
        <mc:AlternateContent>
          <mc:Choice Requires="wps">
            <w:drawing>
              <wp:anchor distT="0" distB="0" distL="114300" distR="114300" simplePos="0" relativeHeight="251656704" behindDoc="0" locked="0" layoutInCell="1" allowOverlap="1" wp14:anchorId="0FA1092E" wp14:editId="2428BF5E">
                <wp:simplePos x="0" y="0"/>
                <wp:positionH relativeFrom="column">
                  <wp:posOffset>40005</wp:posOffset>
                </wp:positionH>
                <wp:positionV relativeFrom="paragraph">
                  <wp:posOffset>-12700</wp:posOffset>
                </wp:positionV>
                <wp:extent cx="5517515" cy="8551545"/>
                <wp:effectExtent l="0" t="0" r="6985" b="1905"/>
                <wp:wrapNone/>
                <wp:docPr id="1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7515" cy="8551545"/>
                        </a:xfrm>
                        <a:prstGeom prst="roundRect">
                          <a:avLst>
                            <a:gd name="adj" fmla="val 4421"/>
                          </a:avLst>
                        </a:prstGeom>
                        <a:noFill/>
                        <a:ln w="6350" cap="flat" cmpd="sng" algn="ctr">
                          <a:solidFill>
                            <a:sysClr val="windowText" lastClr="000000"/>
                          </a:solidFill>
                          <a:prstDash val="solid"/>
                        </a:ln>
                        <a:effectLst/>
                      </wps:spPr>
                      <wps:txbx>
                        <w:txbxContent>
                          <w:p w14:paraId="464F2C5E" w14:textId="77777777" w:rsidR="008C0FB5" w:rsidRPr="000F6798" w:rsidRDefault="008C0FB5" w:rsidP="00CB24B8">
                            <w:pPr>
                              <w:pStyle w:val="ab"/>
                              <w:rPr>
                                <w:rtl/>
                              </w:rPr>
                            </w:pPr>
                          </w:p>
                          <w:p w14:paraId="6665F953" w14:textId="77777777" w:rsidR="008C0FB5" w:rsidRPr="000F6798" w:rsidRDefault="008C0FB5" w:rsidP="00CB24B8">
                            <w:pPr>
                              <w:pStyle w:val="ab"/>
                              <w:rPr>
                                <w:rtl/>
                              </w:rPr>
                            </w:pPr>
                          </w:p>
                          <w:p w14:paraId="711AC38F" w14:textId="77777777" w:rsidR="008C0FB5" w:rsidRPr="000F6798" w:rsidRDefault="008C0FB5" w:rsidP="00CB24B8">
                            <w:pPr>
                              <w:pStyle w:val="ab"/>
                              <w:rPr>
                                <w:rtl/>
                              </w:rPr>
                            </w:pPr>
                          </w:p>
                          <w:p w14:paraId="2ACD400F" w14:textId="77777777" w:rsidR="008C0FB5" w:rsidRPr="000F6798" w:rsidRDefault="008C0FB5" w:rsidP="00CB24B8">
                            <w:pPr>
                              <w:pStyle w:val="a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1092E" id="Rounded Rectangle 11" o:spid="_x0000_s1026" style="position:absolute;left:0;text-align:left;margin-left:3.15pt;margin-top:-1pt;width:434.45pt;height:67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" filled="f" strokecolor="windowText" strokeweight=".5pt">
                <v:path arrowok="t"/>
                <v:textbox>
                  <w:txbxContent>
                    <w:p w14:paraId="464F2C5E" w14:textId="77777777" w:rsidR="008C0FB5" w:rsidRPr="000F6798" w:rsidRDefault="008C0FB5" w:rsidP="00CB24B8">
                      <w:pPr>
                        <w:pStyle w:val="ab"/>
                        <w:rPr>
                          <w:rtl/>
                        </w:rPr>
                      </w:pPr>
                    </w:p>
                    <w:p w14:paraId="6665F953" w14:textId="77777777" w:rsidR="008C0FB5" w:rsidRPr="000F6798" w:rsidRDefault="008C0FB5" w:rsidP="00CB24B8">
                      <w:pPr>
                        <w:pStyle w:val="ab"/>
                        <w:rPr>
                          <w:rtl/>
                        </w:rPr>
                      </w:pPr>
                    </w:p>
                    <w:p w14:paraId="711AC38F" w14:textId="77777777" w:rsidR="008C0FB5" w:rsidRPr="000F6798" w:rsidRDefault="008C0FB5" w:rsidP="00CB24B8">
                      <w:pPr>
                        <w:pStyle w:val="ab"/>
                        <w:rPr>
                          <w:rtl/>
                        </w:rPr>
                      </w:pPr>
                    </w:p>
                    <w:p w14:paraId="2ACD400F" w14:textId="77777777" w:rsidR="008C0FB5" w:rsidRPr="000F6798" w:rsidRDefault="008C0FB5" w:rsidP="00CB24B8">
                      <w:pPr>
                        <w:pStyle w:val="ab"/>
                      </w:pPr>
                    </w:p>
                  </w:txbxContent>
                </v:textbox>
              </v:roundrect>
            </w:pict>
          </mc:Fallback>
        </mc:AlternateContent>
      </w:r>
      <w:r w:rsidRPr="008C0FB5">
        <w:rPr>
          <w:noProof/>
        </w:rPr>
        <w:drawing>
          <wp:anchor distT="0" distB="0" distL="114300" distR="114300" simplePos="0" relativeHeight="251654656" behindDoc="0" locked="0" layoutInCell="1" allowOverlap="1" wp14:anchorId="2FE9E129" wp14:editId="1FEE74F6">
            <wp:simplePos x="0" y="0"/>
            <wp:positionH relativeFrom="column">
              <wp:posOffset>1929130</wp:posOffset>
            </wp:positionH>
            <wp:positionV relativeFrom="paragraph">
              <wp:posOffset>1600200</wp:posOffset>
            </wp:positionV>
            <wp:extent cx="1666240" cy="2073910"/>
            <wp:effectExtent l="0" t="0" r="0" b="0"/>
            <wp:wrapNone/>
            <wp:docPr id="168" name="Picture 81" descr="D:\tumblr_nyo8onTKyd1v0r80j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tumblr_nyo8onTKyd1v0r80jo1_5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24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5AA" w:rsidRPr="008C0FB5">
        <w:t></w:t>
      </w:r>
    </w:p>
    <w:p w14:paraId="4FB7D829" w14:textId="62A32C8C" w:rsidR="00690E8F" w:rsidRPr="008C0FB5" w:rsidRDefault="007C3C34" w:rsidP="00155784">
      <w:pPr>
        <w:pStyle w:val="35"/>
        <w:rPr>
          <w:rFonts w:hint="cs"/>
          <w:rtl/>
        </w:rPr>
      </w:pPr>
      <w:r w:rsidRPr="008C0FB5">
        <w:rPr>
          <w:noProof/>
        </w:rPr>
        <w:lastRenderedPageBreak/>
        <w:drawing>
          <wp:anchor distT="0" distB="0" distL="114300" distR="114300" simplePos="0" relativeHeight="251657728" behindDoc="1" locked="0" layoutInCell="1" allowOverlap="1" wp14:anchorId="3A6FA541" wp14:editId="601D6471">
            <wp:simplePos x="0" y="0"/>
            <wp:positionH relativeFrom="column">
              <wp:posOffset>-140335</wp:posOffset>
            </wp:positionH>
            <wp:positionV relativeFrom="paragraph">
              <wp:posOffset>-118110</wp:posOffset>
            </wp:positionV>
            <wp:extent cx="5771515" cy="8882380"/>
            <wp:effectExtent l="0" t="0" r="0" b="0"/>
            <wp:wrapNone/>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888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FB5">
        <w:rPr>
          <w:noProof/>
          <w:rtl/>
        </w:rPr>
        <w:drawing>
          <wp:anchor distT="0" distB="0" distL="114300" distR="114300" simplePos="0" relativeHeight="251655680" behindDoc="0" locked="0" layoutInCell="1" allowOverlap="1" wp14:anchorId="682393C4" wp14:editId="1F2E49B5">
            <wp:simplePos x="0" y="0"/>
            <wp:positionH relativeFrom="column">
              <wp:posOffset>1985645</wp:posOffset>
            </wp:positionH>
            <wp:positionV relativeFrom="paragraph">
              <wp:posOffset>254635</wp:posOffset>
            </wp:positionV>
            <wp:extent cx="1447165" cy="1596390"/>
            <wp:effectExtent l="0" t="0" r="0" b="0"/>
            <wp:wrapNone/>
            <wp:docPr id="169" name="Picture 9" descr="AR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M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165"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C7469" w14:textId="77777777" w:rsidR="00CB24B8" w:rsidRPr="008C0FB5" w:rsidRDefault="00CB24B8" w:rsidP="00155784">
      <w:pPr>
        <w:pStyle w:val="35"/>
        <w:rPr>
          <w:rtl/>
        </w:rPr>
      </w:pPr>
    </w:p>
    <w:p w14:paraId="3C3ABFFA" w14:textId="77777777" w:rsidR="00690E8F" w:rsidRPr="008C0FB5" w:rsidRDefault="00690E8F" w:rsidP="00155784">
      <w:pPr>
        <w:pStyle w:val="35"/>
        <w:rPr>
          <w:rtl/>
        </w:rPr>
      </w:pPr>
    </w:p>
    <w:p w14:paraId="34E3BFE0" w14:textId="77777777" w:rsidR="00690E8F" w:rsidRPr="008C0FB5" w:rsidRDefault="00690E8F" w:rsidP="00155784">
      <w:pPr>
        <w:pStyle w:val="35"/>
        <w:rPr>
          <w:rtl/>
        </w:rPr>
      </w:pPr>
    </w:p>
    <w:p w14:paraId="2044B6FD" w14:textId="77777777" w:rsidR="00690E8F" w:rsidRPr="008C0FB5" w:rsidRDefault="00690E8F" w:rsidP="00155784">
      <w:pPr>
        <w:pStyle w:val="35"/>
        <w:rPr>
          <w:rtl/>
        </w:rPr>
      </w:pPr>
    </w:p>
    <w:p w14:paraId="072CCDBF" w14:textId="77777777" w:rsidR="00CB24B8" w:rsidRPr="008C0FB5" w:rsidRDefault="00CB24B8" w:rsidP="00CB24B8">
      <w:pPr>
        <w:spacing w:after="60" w:line="240" w:lineRule="auto"/>
        <w:jc w:val="center"/>
        <w:outlineLvl w:val="1"/>
        <w:rPr>
          <w:rFonts w:ascii="Lotus Linotype" w:eastAsia="Times New Roman" w:hAnsi="Lotus Linotype" w:cs="Lotus Linotype"/>
          <w:sz w:val="32"/>
          <w:szCs w:val="32"/>
          <w:rtl/>
          <w:lang w:bidi="ar-IQ"/>
        </w:rPr>
      </w:pPr>
      <w:r w:rsidRPr="008C0FB5">
        <w:rPr>
          <w:rFonts w:ascii="Lotus Linotype" w:eastAsia="Times New Roman" w:hAnsi="Lotus Linotype" w:cs="Lotus Linotype"/>
          <w:sz w:val="32"/>
          <w:szCs w:val="32"/>
          <w:rtl/>
          <w:lang w:bidi="ar-IQ"/>
        </w:rPr>
        <w:t>کلیة اصول الدین قم</w:t>
      </w:r>
    </w:p>
    <w:p w14:paraId="5CDDD6F3" w14:textId="77777777" w:rsidR="00CB24B8" w:rsidRPr="008C0FB5" w:rsidRDefault="00CB24B8" w:rsidP="00CB24B8">
      <w:pPr>
        <w:spacing w:after="60" w:line="240" w:lineRule="auto"/>
        <w:jc w:val="center"/>
        <w:outlineLvl w:val="1"/>
        <w:rPr>
          <w:rFonts w:ascii="Lotus Linotype" w:eastAsia="Times New Roman" w:hAnsi="Lotus Linotype" w:cs="Lotus Linotype"/>
          <w:sz w:val="32"/>
          <w:szCs w:val="32"/>
          <w:lang w:bidi="ar-IQ"/>
        </w:rPr>
      </w:pPr>
      <w:r w:rsidRPr="008C0FB5">
        <w:rPr>
          <w:rFonts w:ascii="Lotus Linotype" w:eastAsia="Times New Roman" w:hAnsi="Lotus Linotype" w:cs="Lotus Linotype"/>
          <w:sz w:val="32"/>
          <w:szCs w:val="32"/>
          <w:rtl/>
          <w:lang w:bidi="ar-IQ"/>
        </w:rPr>
        <w:t>قسم علوم القرآن والحدیث</w:t>
      </w:r>
    </w:p>
    <w:p w14:paraId="458C1BD1" w14:textId="77777777" w:rsidR="00CB24B8" w:rsidRPr="008C0FB5" w:rsidRDefault="00CB24B8" w:rsidP="00CB24B8">
      <w:pPr>
        <w:spacing w:after="60" w:line="240" w:lineRule="auto"/>
        <w:jc w:val="center"/>
        <w:outlineLvl w:val="1"/>
        <w:rPr>
          <w:rFonts w:ascii="Lotus Linotype" w:eastAsia="Times New Roman" w:hAnsi="Lotus Linotype" w:cs="Lotus Linotype"/>
          <w:sz w:val="32"/>
          <w:szCs w:val="32"/>
          <w:rtl/>
          <w:lang w:bidi="ar-IQ"/>
        </w:rPr>
      </w:pPr>
      <w:r w:rsidRPr="008C0FB5">
        <w:rPr>
          <w:rFonts w:ascii="Lotus Linotype" w:eastAsia="Times New Roman" w:hAnsi="Lotus Linotype" w:cs="Lotus Linotype"/>
          <w:sz w:val="32"/>
          <w:szCs w:val="32"/>
          <w:rtl/>
          <w:lang w:bidi="ar-IQ"/>
        </w:rPr>
        <w:t>رسالة الماجستیر</w:t>
      </w:r>
    </w:p>
    <w:p w14:paraId="2B13FE37" w14:textId="77777777" w:rsidR="00D929C6" w:rsidRPr="008C0FB5" w:rsidRDefault="00D929C6" w:rsidP="00D929C6">
      <w:pPr>
        <w:spacing w:line="240" w:lineRule="auto"/>
        <w:jc w:val="center"/>
        <w:rPr>
          <w:rFonts w:ascii="Times New Roman" w:eastAsia="Times New Roman" w:hAnsi="Times New Roman" w:cs="B Zar"/>
          <w:rtl/>
          <w:lang w:bidi="ar-IQ"/>
        </w:rPr>
      </w:pPr>
    </w:p>
    <w:p w14:paraId="390C3CED" w14:textId="77777777" w:rsidR="00D929C6" w:rsidRPr="008C0FB5" w:rsidRDefault="00CB24B8" w:rsidP="00CB24B8">
      <w:pPr>
        <w:spacing w:after="60" w:line="240" w:lineRule="auto"/>
        <w:jc w:val="center"/>
        <w:outlineLvl w:val="1"/>
        <w:rPr>
          <w:rFonts w:ascii="Times New Roman" w:eastAsia="Times New Roman" w:hAnsi="Times New Roman" w:cs="Times New Roman" w:hint="cs"/>
          <w:rtl/>
          <w:lang w:bidi="fa-IR"/>
        </w:rPr>
      </w:pPr>
      <w:r w:rsidRPr="008C0FB5">
        <w:rPr>
          <w:rFonts w:ascii="Lotus Linotype" w:eastAsia="Times New Roman" w:hAnsi="Lotus Linotype" w:cs="Sultan bold" w:hint="cs"/>
          <w:sz w:val="36"/>
          <w:szCs w:val="36"/>
          <w:rtl/>
          <w:lang w:bidi="ar-IQ"/>
        </w:rPr>
        <w:t>العنوان:</w:t>
      </w:r>
    </w:p>
    <w:p w14:paraId="258A2BBD" w14:textId="77777777" w:rsidR="00CB24B8" w:rsidRPr="008C0FB5" w:rsidRDefault="005F4446" w:rsidP="00CB24B8">
      <w:pPr>
        <w:spacing w:after="60" w:line="240" w:lineRule="auto"/>
        <w:jc w:val="center"/>
        <w:outlineLvl w:val="1"/>
        <w:rPr>
          <w:rFonts w:ascii="Lotus Linotype" w:eastAsia="Times New Roman" w:hAnsi="Lotus Linotype" w:cs="Sultan bold"/>
          <w:sz w:val="36"/>
          <w:szCs w:val="36"/>
          <w:rtl/>
          <w:lang w:bidi="ar-IQ"/>
        </w:rPr>
      </w:pPr>
      <w:r w:rsidRPr="008C0FB5">
        <w:rPr>
          <w:rFonts w:ascii="Times New Roman" w:eastAsia="Times New Roman" w:hAnsi="Times New Roman" w:cs="Times New Roman" w:hint="cs"/>
          <w:sz w:val="36"/>
          <w:szCs w:val="36"/>
          <w:rtl/>
          <w:lang w:bidi="fa-IR"/>
        </w:rPr>
        <w:t xml:space="preserve">  </w:t>
      </w:r>
      <w:r w:rsidR="00CB24B8" w:rsidRPr="008C0FB5">
        <w:rPr>
          <w:rFonts w:ascii="Lotus Linotype" w:eastAsia="Times New Roman" w:hAnsi="Lotus Linotype" w:cs="Sultan bold"/>
          <w:sz w:val="36"/>
          <w:szCs w:val="36"/>
          <w:rtl/>
          <w:lang w:bidi="ar-IQ"/>
        </w:rPr>
        <w:t>نظري</w:t>
      </w:r>
      <w:r w:rsidR="00CB24B8" w:rsidRPr="008C0FB5">
        <w:rPr>
          <w:rFonts w:ascii="Lotus Linotype" w:eastAsia="Times New Roman" w:hAnsi="Lotus Linotype" w:cs="Sultan bold" w:hint="cs"/>
          <w:sz w:val="36"/>
          <w:szCs w:val="36"/>
          <w:rtl/>
          <w:lang w:bidi="ar-IQ"/>
        </w:rPr>
        <w:t>ة</w:t>
      </w:r>
      <w:r w:rsidR="00CB24B8" w:rsidRPr="008C0FB5">
        <w:rPr>
          <w:rFonts w:ascii="Lotus Linotype" w:eastAsia="Times New Roman" w:hAnsi="Lotus Linotype" w:cs="Sultan bold"/>
          <w:sz w:val="36"/>
          <w:szCs w:val="36"/>
          <w:rtl/>
          <w:lang w:bidi="ar-IQ"/>
        </w:rPr>
        <w:t xml:space="preserve"> الباعث الدافع للتعاقد</w:t>
      </w:r>
      <w:r w:rsidR="00CB24B8" w:rsidRPr="008C0FB5">
        <w:rPr>
          <w:rFonts w:ascii="Lotus Linotype" w:eastAsia="Times New Roman" w:hAnsi="Lotus Linotype" w:cs="Sultan bold" w:hint="cs"/>
          <w:sz w:val="36"/>
          <w:szCs w:val="36"/>
          <w:rtl/>
          <w:lang w:bidi="ar-IQ"/>
        </w:rPr>
        <w:t xml:space="preserve"> </w:t>
      </w:r>
      <w:r w:rsidR="00CB24B8" w:rsidRPr="008C0FB5">
        <w:rPr>
          <w:rFonts w:ascii="Lotus Linotype" w:eastAsia="Times New Roman" w:hAnsi="Lotus Linotype" w:cs="Sultan bold"/>
          <w:sz w:val="36"/>
          <w:szCs w:val="36"/>
          <w:rtl/>
          <w:lang w:bidi="ar-IQ"/>
        </w:rPr>
        <w:t>النظرية الذاتية للسبب</w:t>
      </w:r>
    </w:p>
    <w:p w14:paraId="40BCAAC1" w14:textId="77777777" w:rsidR="00CB24B8" w:rsidRPr="008C0FB5" w:rsidRDefault="00CB24B8" w:rsidP="00CB24B8">
      <w:pPr>
        <w:spacing w:after="60" w:line="240" w:lineRule="auto"/>
        <w:jc w:val="center"/>
        <w:outlineLvl w:val="1"/>
        <w:rPr>
          <w:rFonts w:ascii="Lotus Linotype" w:eastAsia="Times New Roman" w:hAnsi="Lotus Linotype" w:cs="Sultan bold" w:hint="cs"/>
          <w:sz w:val="36"/>
          <w:szCs w:val="36"/>
          <w:rtl/>
          <w:lang w:bidi="ar-IQ"/>
        </w:rPr>
      </w:pPr>
      <w:r w:rsidRPr="008C0FB5">
        <w:rPr>
          <w:rFonts w:ascii="Lotus Linotype" w:eastAsia="Times New Roman" w:hAnsi="Lotus Linotype" w:cs="Sultan bold" w:hint="cs"/>
          <w:sz w:val="36"/>
          <w:szCs w:val="36"/>
          <w:rtl/>
          <w:lang w:bidi="ar-IQ"/>
        </w:rPr>
        <w:t>«</w:t>
      </w:r>
      <w:r w:rsidRPr="008C0FB5">
        <w:rPr>
          <w:rFonts w:ascii="Lotus Linotype" w:eastAsia="Times New Roman" w:hAnsi="Lotus Linotype" w:cs="Sultan bold"/>
          <w:sz w:val="36"/>
          <w:szCs w:val="36"/>
          <w:rtl/>
          <w:lang w:bidi="ar-IQ"/>
        </w:rPr>
        <w:t>دراسة مقارنة بين الفقه الاسلامي والقانون الوضعي</w:t>
      </w:r>
      <w:r w:rsidRPr="008C0FB5">
        <w:rPr>
          <w:rFonts w:ascii="Lotus Linotype" w:eastAsia="Times New Roman" w:hAnsi="Lotus Linotype" w:cs="Sultan bold" w:hint="cs"/>
          <w:sz w:val="36"/>
          <w:szCs w:val="36"/>
          <w:rtl/>
          <w:lang w:bidi="ar-IQ"/>
        </w:rPr>
        <w:t>»</w:t>
      </w:r>
    </w:p>
    <w:p w14:paraId="20EF97B1" w14:textId="77777777" w:rsidR="00D929C6" w:rsidRPr="008C0FB5" w:rsidRDefault="00D929C6" w:rsidP="00D929C6">
      <w:pPr>
        <w:spacing w:after="60" w:line="240" w:lineRule="auto"/>
        <w:jc w:val="center"/>
        <w:outlineLvl w:val="1"/>
        <w:rPr>
          <w:rFonts w:ascii="Cambria" w:eastAsia="Times New Roman" w:hAnsi="Cambria" w:cs="Sultan bold"/>
          <w:b/>
          <w:bCs/>
          <w:rtl/>
          <w:lang w:bidi="ar-IQ"/>
        </w:rPr>
      </w:pPr>
    </w:p>
    <w:p w14:paraId="229B1228" w14:textId="77777777" w:rsidR="00D929C6" w:rsidRPr="008C0FB5" w:rsidRDefault="00D929C6" w:rsidP="00D929C6">
      <w:pPr>
        <w:tabs>
          <w:tab w:val="left" w:pos="716"/>
        </w:tabs>
        <w:spacing w:after="60" w:line="240" w:lineRule="auto"/>
        <w:outlineLvl w:val="1"/>
        <w:rPr>
          <w:rFonts w:ascii="Cambria" w:eastAsia="Times New Roman" w:hAnsi="Cambria" w:cs="Times New Roman"/>
          <w:rtl/>
          <w:lang w:bidi="ar-IQ"/>
        </w:rPr>
      </w:pPr>
      <w:r w:rsidRPr="008C0FB5">
        <w:rPr>
          <w:rFonts w:ascii="Cambria" w:eastAsia="Times New Roman" w:hAnsi="Cambria" w:cs="Times New Roman"/>
          <w:rtl/>
          <w:lang w:bidi="ar-IQ"/>
        </w:rPr>
        <w:t xml:space="preserve"> </w:t>
      </w:r>
      <w:r w:rsidRPr="008C0FB5">
        <w:rPr>
          <w:rFonts w:ascii="Cambria" w:eastAsia="Times New Roman" w:hAnsi="Cambria" w:cs="Times New Roman"/>
          <w:rtl/>
          <w:lang w:bidi="ar-IQ"/>
        </w:rPr>
        <w:tab/>
      </w:r>
    </w:p>
    <w:p w14:paraId="32144C7E" w14:textId="77777777" w:rsidR="00CB24B8" w:rsidRPr="008C0FB5" w:rsidRDefault="00CB24B8" w:rsidP="00D929C6">
      <w:pPr>
        <w:spacing w:after="60" w:line="240" w:lineRule="auto"/>
        <w:jc w:val="center"/>
        <w:outlineLvl w:val="1"/>
        <w:rPr>
          <w:rFonts w:ascii="Lotus Linotype" w:eastAsia="Times New Roman" w:hAnsi="Lotus Linotype" w:cs="Sultan bold" w:hint="cs"/>
          <w:sz w:val="36"/>
          <w:szCs w:val="36"/>
          <w:rtl/>
          <w:lang w:bidi="ar-IQ"/>
        </w:rPr>
      </w:pPr>
      <w:r w:rsidRPr="008C0FB5">
        <w:rPr>
          <w:rFonts w:ascii="Lotus Linotype" w:eastAsia="Times New Roman" w:hAnsi="Lotus Linotype" w:cs="Sultan bold" w:hint="cs"/>
          <w:sz w:val="36"/>
          <w:szCs w:val="36"/>
          <w:rtl/>
          <w:lang w:bidi="ar-IQ"/>
        </w:rPr>
        <w:t xml:space="preserve">الاستاذ المشرف: </w:t>
      </w:r>
    </w:p>
    <w:p w14:paraId="4FC74DF2" w14:textId="77777777" w:rsidR="00CB24B8" w:rsidRPr="008C0FB5" w:rsidRDefault="005947C9" w:rsidP="008C0FB5">
      <w:pPr>
        <w:spacing w:after="60" w:line="240" w:lineRule="auto"/>
        <w:jc w:val="center"/>
        <w:outlineLvl w:val="1"/>
        <w:rPr>
          <w:rFonts w:ascii="Lotus Linotype" w:eastAsia="Times New Roman" w:hAnsi="Lotus Linotype" w:cs="Times New Roman" w:hint="cs"/>
          <w:sz w:val="36"/>
          <w:szCs w:val="36"/>
          <w:rtl/>
          <w:lang w:bidi="fa-IR"/>
        </w:rPr>
      </w:pPr>
      <w:r w:rsidRPr="008C0FB5">
        <w:rPr>
          <w:rFonts w:ascii="Lotus Linotype" w:eastAsia="Times New Roman" w:hAnsi="Lotus Linotype" w:cs="Sultan bold" w:hint="cs"/>
          <w:sz w:val="36"/>
          <w:szCs w:val="36"/>
          <w:rtl/>
          <w:lang w:bidi="ar-IQ"/>
        </w:rPr>
        <w:t>ال</w:t>
      </w:r>
      <w:r w:rsidRPr="008C0FB5">
        <w:rPr>
          <w:rFonts w:ascii="Lotus Linotype" w:eastAsia="Times New Roman" w:hAnsi="Lotus Linotype" w:cs="Sultan bold" w:hint="cs"/>
          <w:sz w:val="36"/>
          <w:szCs w:val="36"/>
          <w:rtl/>
          <w:lang w:bidi="fa-IR"/>
        </w:rPr>
        <w:t>د</w:t>
      </w:r>
      <w:r w:rsidRPr="008C0FB5">
        <w:rPr>
          <w:rFonts w:ascii="Lotus Linotype" w:eastAsia="Times New Roman" w:hAnsi="Lotus Linotype" w:cs="Sultan bold" w:hint="cs"/>
          <w:sz w:val="36"/>
          <w:szCs w:val="36"/>
          <w:rtl/>
          <w:lang w:bidi="ar-IQ"/>
        </w:rPr>
        <w:t xml:space="preserve">كتور </w:t>
      </w:r>
      <w:r w:rsidR="008C0FB5" w:rsidRPr="008C0FB5">
        <w:rPr>
          <w:rFonts w:ascii="Lotus Linotype" w:eastAsia="Times New Roman" w:hAnsi="Lotus Linotype" w:cs="Sultan bold" w:hint="cs"/>
          <w:sz w:val="36"/>
          <w:szCs w:val="36"/>
          <w:rtl/>
          <w:lang w:bidi="ar-IQ"/>
        </w:rPr>
        <w:t>مه</w:t>
      </w:r>
      <w:r w:rsidR="008C0FB5" w:rsidRPr="008C0FB5">
        <w:rPr>
          <w:rFonts w:ascii="Lotus Linotype" w:eastAsia="Times New Roman" w:hAnsi="Lotus Linotype" w:cs="Sultan bold"/>
          <w:sz w:val="36"/>
          <w:szCs w:val="36"/>
          <w:rtl/>
          <w:lang w:bidi="ar-IQ"/>
        </w:rPr>
        <w:t>د</w:t>
      </w:r>
      <w:r w:rsidR="008C0FB5" w:rsidRPr="008C0FB5">
        <w:rPr>
          <w:rFonts w:ascii="Lotus Linotype" w:eastAsia="Times New Roman" w:hAnsi="Lotus Linotype" w:cs="Sultan bold" w:hint="cs"/>
          <w:sz w:val="36"/>
          <w:szCs w:val="36"/>
          <w:rtl/>
          <w:lang w:bidi="ar-IQ"/>
        </w:rPr>
        <w:t>ي ا</w:t>
      </w:r>
      <w:r w:rsidRPr="008C0FB5">
        <w:rPr>
          <w:rFonts w:ascii="Lotus Linotype" w:eastAsia="Times New Roman" w:hAnsi="Lotus Linotype" w:cs="Sultan bold" w:hint="cs"/>
          <w:sz w:val="36"/>
          <w:szCs w:val="36"/>
          <w:rtl/>
          <w:lang w:bidi="ar-IQ"/>
        </w:rPr>
        <w:t>لخاقاني</w:t>
      </w:r>
      <w:r w:rsidR="008C0FB5" w:rsidRPr="008C0FB5">
        <w:rPr>
          <w:rFonts w:ascii="Lotus Linotype" w:eastAsia="Times New Roman" w:hAnsi="Lotus Linotype" w:cs="Sultan bold" w:hint="cs"/>
          <w:sz w:val="36"/>
          <w:szCs w:val="36"/>
          <w:rtl/>
          <w:lang w:bidi="ar-IQ"/>
        </w:rPr>
        <w:t xml:space="preserve"> ال</w:t>
      </w:r>
      <w:r w:rsidR="008C0FB5" w:rsidRPr="008C0FB5">
        <w:rPr>
          <w:rFonts w:ascii="Lotus Linotype" w:eastAsia="Times New Roman" w:hAnsi="Lotus Linotype" w:cs="Sultan bold" w:hint="cs"/>
          <w:sz w:val="36"/>
          <w:szCs w:val="36"/>
          <w:rtl/>
          <w:lang w:bidi="fa-IR"/>
        </w:rPr>
        <w:t>إصفهان</w:t>
      </w:r>
      <w:r w:rsidR="008C0FB5" w:rsidRPr="008C0FB5">
        <w:rPr>
          <w:rFonts w:ascii="Lotus Linotype" w:eastAsia="Times New Roman" w:hAnsi="Lotus Linotype" w:cs="Sultan bold"/>
          <w:sz w:val="36"/>
          <w:szCs w:val="36"/>
          <w:rtl/>
          <w:lang w:bidi="ar-IQ"/>
        </w:rPr>
        <w:t>ي</w:t>
      </w:r>
    </w:p>
    <w:p w14:paraId="2C062464" w14:textId="77777777" w:rsidR="00CB24B8" w:rsidRPr="008C0FB5" w:rsidRDefault="00CB24B8" w:rsidP="00D929C6">
      <w:pPr>
        <w:spacing w:after="60" w:line="240" w:lineRule="auto"/>
        <w:jc w:val="center"/>
        <w:outlineLvl w:val="1"/>
        <w:rPr>
          <w:rFonts w:ascii="Lotus Linotype" w:eastAsia="Times New Roman" w:hAnsi="Lotus Linotype" w:cs="Sultan bold" w:hint="cs"/>
          <w:sz w:val="36"/>
          <w:szCs w:val="36"/>
          <w:rtl/>
          <w:lang w:bidi="ar-IQ"/>
        </w:rPr>
      </w:pPr>
    </w:p>
    <w:p w14:paraId="02AEE440" w14:textId="77777777" w:rsidR="00CB24B8" w:rsidRPr="008C0FB5" w:rsidRDefault="00CB24B8" w:rsidP="00D929C6">
      <w:pPr>
        <w:spacing w:after="60" w:line="240" w:lineRule="auto"/>
        <w:jc w:val="center"/>
        <w:outlineLvl w:val="1"/>
        <w:rPr>
          <w:rFonts w:ascii="Lotus Linotype" w:eastAsia="Times New Roman" w:hAnsi="Lotus Linotype" w:cs="Sultan bold" w:hint="cs"/>
          <w:sz w:val="36"/>
          <w:szCs w:val="36"/>
          <w:rtl/>
          <w:lang w:bidi="ar-IQ"/>
        </w:rPr>
      </w:pPr>
      <w:r w:rsidRPr="008C0FB5">
        <w:rPr>
          <w:rFonts w:ascii="Lotus Linotype" w:eastAsia="Times New Roman" w:hAnsi="Lotus Linotype" w:cs="Sultan bold" w:hint="cs"/>
          <w:sz w:val="36"/>
          <w:szCs w:val="36"/>
          <w:rtl/>
          <w:lang w:bidi="ar-IQ"/>
        </w:rPr>
        <w:t>إعداد</w:t>
      </w:r>
      <w:r w:rsidR="00FD70E3" w:rsidRPr="008C0FB5">
        <w:rPr>
          <w:rFonts w:ascii="Lotus Linotype" w:eastAsia="Times New Roman" w:hAnsi="Lotus Linotype" w:cs="Sultan bold"/>
          <w:sz w:val="36"/>
          <w:szCs w:val="36"/>
          <w:rtl/>
          <w:lang w:bidi="ar-IQ"/>
        </w:rPr>
        <w:t xml:space="preserve">: </w:t>
      </w:r>
    </w:p>
    <w:p w14:paraId="0A772F83" w14:textId="77777777" w:rsidR="00D929C6" w:rsidRPr="008C0FB5" w:rsidRDefault="00CB24B8" w:rsidP="00CB24B8">
      <w:pPr>
        <w:spacing w:after="60" w:line="240" w:lineRule="auto"/>
        <w:jc w:val="center"/>
        <w:outlineLvl w:val="1"/>
        <w:rPr>
          <w:rFonts w:ascii="Lotus Linotype" w:eastAsia="Times New Roman" w:hAnsi="Lotus Linotype" w:cs="Sultan bold"/>
          <w:sz w:val="36"/>
          <w:szCs w:val="36"/>
          <w:rtl/>
          <w:lang w:bidi="ar-IQ"/>
        </w:rPr>
      </w:pPr>
      <w:r w:rsidRPr="008C0FB5">
        <w:rPr>
          <w:rFonts w:ascii="Lotus Linotype" w:eastAsia="Times New Roman" w:hAnsi="Lotus Linotype" w:cs="Sultan bold"/>
          <w:sz w:val="36"/>
          <w:szCs w:val="36"/>
          <w:rtl/>
          <w:lang w:bidi="ar-IQ"/>
        </w:rPr>
        <w:t>زيدون كريم حمد</w:t>
      </w:r>
    </w:p>
    <w:p w14:paraId="19667A47" w14:textId="77777777" w:rsidR="00CB24B8" w:rsidRPr="008C0FB5" w:rsidRDefault="00CB24B8" w:rsidP="00D929C6">
      <w:pPr>
        <w:spacing w:after="60" w:line="240" w:lineRule="auto"/>
        <w:jc w:val="center"/>
        <w:outlineLvl w:val="1"/>
        <w:rPr>
          <w:rFonts w:ascii="Lotus Linotype" w:eastAsia="Times New Roman" w:hAnsi="Lotus Linotype" w:cs="Sultan bold" w:hint="cs"/>
          <w:rtl/>
          <w:lang w:bidi="ar-IQ"/>
        </w:rPr>
      </w:pPr>
    </w:p>
    <w:p w14:paraId="0B6DBD6B" w14:textId="77777777" w:rsidR="00CB24B8" w:rsidRPr="008C0FB5" w:rsidRDefault="00CB24B8" w:rsidP="00D929C6">
      <w:pPr>
        <w:spacing w:after="60" w:line="240" w:lineRule="auto"/>
        <w:jc w:val="center"/>
        <w:outlineLvl w:val="1"/>
        <w:rPr>
          <w:rFonts w:ascii="Lotus Linotype" w:eastAsia="Times New Roman" w:hAnsi="Lotus Linotype" w:cs="Sultan bold" w:hint="cs"/>
          <w:rtl/>
          <w:lang w:bidi="ar-IQ"/>
        </w:rPr>
      </w:pPr>
      <w:r w:rsidRPr="008C0FB5">
        <w:rPr>
          <w:rFonts w:ascii="Lotus Linotype" w:eastAsia="Times New Roman" w:hAnsi="Lotus Linotype" w:cs="Sultan bold" w:hint="cs"/>
          <w:rtl/>
          <w:lang w:bidi="ar-IQ"/>
        </w:rPr>
        <w:t>سنة</w:t>
      </w:r>
      <w:r w:rsidR="00FD70E3" w:rsidRPr="008C0FB5">
        <w:rPr>
          <w:rFonts w:ascii="Lotus Linotype" w:eastAsia="Times New Roman" w:hAnsi="Lotus Linotype" w:cs="Sultan bold"/>
          <w:rtl/>
          <w:lang w:bidi="ar-IQ"/>
        </w:rPr>
        <w:t>:</w:t>
      </w:r>
    </w:p>
    <w:p w14:paraId="0C086EFB" w14:textId="77777777" w:rsidR="00D929C6" w:rsidRPr="008C0FB5" w:rsidRDefault="00FD70E3" w:rsidP="00CB24B8">
      <w:pPr>
        <w:spacing w:after="60" w:line="240" w:lineRule="auto"/>
        <w:jc w:val="center"/>
        <w:outlineLvl w:val="1"/>
        <w:rPr>
          <w:rFonts w:ascii="Lotus Linotype" w:eastAsia="Times New Roman" w:hAnsi="Lotus Linotype" w:cs="Sultan bold"/>
          <w:rtl/>
          <w:lang w:bidi="ar-IQ"/>
        </w:rPr>
      </w:pPr>
      <w:r w:rsidRPr="008C0FB5">
        <w:rPr>
          <w:rFonts w:ascii="Lotus Linotype" w:eastAsia="Times New Roman" w:hAnsi="Lotus Linotype" w:cs="Sultan bold"/>
          <w:rtl/>
          <w:lang w:bidi="ar-IQ"/>
        </w:rPr>
        <w:t xml:space="preserve"> </w:t>
      </w:r>
      <w:r w:rsidR="00CB24B8" w:rsidRPr="008C0FB5">
        <w:rPr>
          <w:rFonts w:ascii="Lotus Linotype" w:eastAsia="Times New Roman" w:hAnsi="Lotus Linotype" w:cs="Sultan bold" w:hint="cs"/>
          <w:rtl/>
          <w:lang w:bidi="ar-IQ"/>
        </w:rPr>
        <w:t>1441</w:t>
      </w:r>
      <w:r w:rsidR="00FD1DDA" w:rsidRPr="008C0FB5">
        <w:rPr>
          <w:rFonts w:ascii="Lotus Linotype" w:eastAsia="Times New Roman" w:hAnsi="Lotus Linotype" w:cs="Sultan bold" w:hint="cs"/>
          <w:rtl/>
          <w:lang w:bidi="ar-IQ"/>
        </w:rPr>
        <w:t xml:space="preserve">هـ </w:t>
      </w:r>
      <w:r w:rsidR="00CB24B8" w:rsidRPr="008C0FB5">
        <w:rPr>
          <w:rFonts w:ascii="Lotus Linotype" w:eastAsia="Times New Roman" w:hAnsi="Lotus Linotype" w:cs="Sultan bold" w:hint="cs"/>
          <w:rtl/>
          <w:lang w:bidi="ar-IQ"/>
        </w:rPr>
        <w:t>ق.</w:t>
      </w:r>
    </w:p>
    <w:p w14:paraId="3A963863" w14:textId="77777777" w:rsidR="00155784" w:rsidRPr="008C0FB5" w:rsidRDefault="00155784" w:rsidP="00D929C6">
      <w:pPr>
        <w:spacing w:after="60" w:line="240" w:lineRule="auto"/>
        <w:jc w:val="center"/>
        <w:outlineLvl w:val="1"/>
        <w:rPr>
          <w:rFonts w:ascii="Cambria" w:eastAsia="Times New Roman" w:hAnsi="Cambria" w:cs="Times New Roman"/>
          <w:rtl/>
          <w:lang w:bidi="ar-IQ"/>
        </w:rPr>
        <w:sectPr w:rsidR="00155784" w:rsidRPr="008C0FB5" w:rsidSect="00CB24B8">
          <w:footnotePr>
            <w:numRestart w:val="eachPage"/>
          </w:footnotePr>
          <w:type w:val="oddPage"/>
          <w:pgSz w:w="11906" w:h="16838" w:code="9"/>
          <w:pgMar w:top="1701" w:right="1701" w:bottom="1701" w:left="1418" w:header="1418" w:footer="1418" w:gutter="0"/>
          <w:cols w:space="708"/>
          <w:titlePg/>
          <w:bidi/>
          <w:rtlGutter/>
          <w:docGrid w:linePitch="360"/>
        </w:sectPr>
      </w:pPr>
    </w:p>
    <w:p w14:paraId="2FFDFBB4" w14:textId="11D937F8" w:rsidR="00AA00E3" w:rsidRPr="008C0FB5" w:rsidRDefault="007C3C34" w:rsidP="00155784">
      <w:pPr>
        <w:pStyle w:val="affffff7"/>
        <w:jc w:val="left"/>
        <w:rPr>
          <w:rFonts w:hint="cs"/>
          <w:color w:val="auto"/>
          <w:sz w:val="40"/>
          <w:szCs w:val="40"/>
          <w:rtl/>
          <w:lang w:bidi="ar-IQ"/>
        </w:rPr>
      </w:pPr>
      <w:bookmarkStart w:id="0" w:name="_Toc8634632"/>
      <w:bookmarkStart w:id="1" w:name="_Toc8643615"/>
      <w:r w:rsidRPr="008C0FB5">
        <w:rPr>
          <w:color w:val="auto"/>
          <w:sz w:val="40"/>
          <w:szCs w:val="40"/>
          <w:rtl/>
          <w:lang w:bidi="ar-SA"/>
        </w:rPr>
        <w:lastRenderedPageBreak/>
        <mc:AlternateContent>
          <mc:Choice Requires="wps">
            <w:drawing>
              <wp:anchor distT="0" distB="0" distL="114300" distR="114300" simplePos="0" relativeHeight="251659776" behindDoc="1" locked="0" layoutInCell="1" allowOverlap="1" wp14:anchorId="37E8A849" wp14:editId="0E91FE66">
                <wp:simplePos x="0" y="0"/>
                <wp:positionH relativeFrom="column">
                  <wp:posOffset>-152400</wp:posOffset>
                </wp:positionH>
                <wp:positionV relativeFrom="paragraph">
                  <wp:posOffset>-46990</wp:posOffset>
                </wp:positionV>
                <wp:extent cx="5913755" cy="8775700"/>
                <wp:effectExtent l="5080" t="13970" r="5715" b="11430"/>
                <wp:wrapNone/>
                <wp:docPr id="1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8775700"/>
                        </a:xfrm>
                        <a:prstGeom prst="roundRect">
                          <a:avLst>
                            <a:gd name="adj" fmla="val 4421"/>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7562CE" w14:textId="77777777" w:rsidR="008C0FB5" w:rsidRPr="000F6798" w:rsidRDefault="008C0FB5" w:rsidP="00AA00E3">
                            <w:pPr>
                              <w:pStyle w:val="ab"/>
                              <w:rPr>
                                <w:rtl/>
                              </w:rPr>
                            </w:pPr>
                          </w:p>
                          <w:p w14:paraId="6B5C2976" w14:textId="77777777" w:rsidR="008C0FB5" w:rsidRPr="0094067A" w:rsidRDefault="008C0FB5" w:rsidP="0094067A">
                            <w:pPr>
                              <w:pStyle w:val="affffff7"/>
                              <w:jc w:val="left"/>
                              <w:rPr>
                                <w:color w:val="auto"/>
                                <w:sz w:val="30"/>
                                <w:szCs w:val="30"/>
                                <w:rtl/>
                                <w:lang w:bidi="ar-IQ"/>
                              </w:rPr>
                            </w:pPr>
                          </w:p>
                          <w:p w14:paraId="49AF8FA6" w14:textId="77777777" w:rsidR="008C0FB5" w:rsidRPr="0094067A" w:rsidRDefault="008C0FB5" w:rsidP="0094067A">
                            <w:pPr>
                              <w:pStyle w:val="affffff7"/>
                              <w:jc w:val="left"/>
                              <w:rPr>
                                <w:color w:val="auto"/>
                                <w:sz w:val="30"/>
                                <w:szCs w:val="30"/>
                                <w:rtl/>
                                <w:lang w:bidi="ar-IQ"/>
                              </w:rPr>
                            </w:pPr>
                          </w:p>
                          <w:p w14:paraId="6F26AFD7" w14:textId="77777777" w:rsidR="008C0FB5" w:rsidRPr="000F6798" w:rsidRDefault="008C0FB5" w:rsidP="00AA00E3">
                            <w:pPr>
                              <w:pStyle w:val="ab"/>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E8A849" id="_x0000_s1027" style="position:absolute;left:0;text-align:left;margin-left:-12pt;margin-top:-3.7pt;width:465.65pt;height:6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" filled="f" strokeweight=".5pt">
                <v:textbox>
                  <w:txbxContent>
                    <w:p w14:paraId="0D7562CE" w14:textId="77777777" w:rsidR="008C0FB5" w:rsidRPr="000F6798" w:rsidRDefault="008C0FB5" w:rsidP="00AA00E3">
                      <w:pPr>
                        <w:pStyle w:val="ab"/>
                        <w:rPr>
                          <w:rtl/>
                        </w:rPr>
                      </w:pPr>
                    </w:p>
                    <w:p w14:paraId="6B5C2976" w14:textId="77777777" w:rsidR="008C0FB5" w:rsidRPr="0094067A" w:rsidRDefault="008C0FB5" w:rsidP="0094067A">
                      <w:pPr>
                        <w:pStyle w:val="affffff7"/>
                        <w:jc w:val="left"/>
                        <w:rPr>
                          <w:color w:val="auto"/>
                          <w:sz w:val="30"/>
                          <w:szCs w:val="30"/>
                          <w:rtl/>
                          <w:lang w:bidi="ar-IQ"/>
                        </w:rPr>
                      </w:pPr>
                    </w:p>
                    <w:p w14:paraId="49AF8FA6" w14:textId="77777777" w:rsidR="008C0FB5" w:rsidRPr="0094067A" w:rsidRDefault="008C0FB5" w:rsidP="0094067A">
                      <w:pPr>
                        <w:pStyle w:val="affffff7"/>
                        <w:jc w:val="left"/>
                        <w:rPr>
                          <w:color w:val="auto"/>
                          <w:sz w:val="30"/>
                          <w:szCs w:val="30"/>
                          <w:rtl/>
                          <w:lang w:bidi="ar-IQ"/>
                        </w:rPr>
                      </w:pPr>
                    </w:p>
                    <w:p w14:paraId="6F26AFD7" w14:textId="77777777" w:rsidR="008C0FB5" w:rsidRPr="000F6798" w:rsidRDefault="008C0FB5" w:rsidP="00AA00E3">
                      <w:pPr>
                        <w:pStyle w:val="ab"/>
                      </w:pPr>
                    </w:p>
                  </w:txbxContent>
                </v:textbox>
              </v:roundrect>
            </w:pict>
          </mc:Fallback>
        </mc:AlternateContent>
      </w:r>
      <w:bookmarkEnd w:id="0"/>
      <w:bookmarkEnd w:id="1"/>
    </w:p>
    <w:p w14:paraId="3DAE005B" w14:textId="77777777" w:rsidR="00007798" w:rsidRPr="008C0FB5" w:rsidRDefault="00007798" w:rsidP="00155784">
      <w:pPr>
        <w:pStyle w:val="affffff7"/>
        <w:jc w:val="left"/>
        <w:rPr>
          <w:color w:val="auto"/>
          <w:sz w:val="32"/>
          <w:szCs w:val="32"/>
          <w:rtl/>
          <w:lang w:bidi="ar-IQ"/>
        </w:rPr>
      </w:pPr>
      <w:bookmarkStart w:id="2" w:name="_Toc8634633"/>
      <w:bookmarkStart w:id="3" w:name="_Toc8643616"/>
      <w:r w:rsidRPr="008C0FB5">
        <w:rPr>
          <w:color w:val="auto"/>
          <w:sz w:val="32"/>
          <w:szCs w:val="32"/>
          <w:rtl/>
          <w:lang w:bidi="ar-IQ"/>
        </w:rPr>
        <w:t>ال</w:t>
      </w:r>
      <w:r w:rsidR="00F2707D" w:rsidRPr="008C0FB5">
        <w:rPr>
          <w:color w:val="auto"/>
          <w:sz w:val="32"/>
          <w:szCs w:val="32"/>
          <w:rtl/>
          <w:lang w:bidi="ar-IQ"/>
        </w:rPr>
        <w:t>إ</w:t>
      </w:r>
      <w:r w:rsidRPr="008C0FB5">
        <w:rPr>
          <w:color w:val="auto"/>
          <w:sz w:val="32"/>
          <w:szCs w:val="32"/>
          <w:rtl/>
          <w:lang w:bidi="ar-IQ"/>
        </w:rPr>
        <w:t>هداء</w:t>
      </w:r>
      <w:bookmarkEnd w:id="2"/>
      <w:bookmarkEnd w:id="3"/>
    </w:p>
    <w:p w14:paraId="57508656" w14:textId="77777777" w:rsidR="00007798" w:rsidRPr="008C0FB5" w:rsidRDefault="00F2707D" w:rsidP="00155784">
      <w:pPr>
        <w:pStyle w:val="35"/>
        <w:rPr>
          <w:rtl/>
        </w:rPr>
      </w:pPr>
      <w:r w:rsidRPr="008C0FB5">
        <w:rPr>
          <w:rtl/>
        </w:rPr>
        <w:t>إذا كان الإ</w:t>
      </w:r>
      <w:r w:rsidR="00007798" w:rsidRPr="008C0FB5">
        <w:rPr>
          <w:rtl/>
        </w:rPr>
        <w:t>هداء يعبر ولو بجزء من الوفاء</w:t>
      </w:r>
      <w:r w:rsidR="00E44FCC" w:rsidRPr="008C0FB5">
        <w:rPr>
          <w:rtl/>
        </w:rPr>
        <w:t>.</w:t>
      </w:r>
      <w:proofErr w:type="gramStart"/>
      <w:r w:rsidR="00E44FCC" w:rsidRPr="008C0FB5">
        <w:rPr>
          <w:rtl/>
        </w:rPr>
        <w:t>. .</w:t>
      </w:r>
      <w:proofErr w:type="gramEnd"/>
      <w:r w:rsidR="00E44FCC" w:rsidRPr="008C0FB5">
        <w:rPr>
          <w:rtl/>
        </w:rPr>
        <w:t xml:space="preserve"> </w:t>
      </w:r>
    </w:p>
    <w:p w14:paraId="473E84EE" w14:textId="77777777" w:rsidR="002D4B52" w:rsidRPr="008C0FB5" w:rsidRDefault="002D4B52" w:rsidP="00155784">
      <w:pPr>
        <w:pStyle w:val="35"/>
        <w:rPr>
          <w:rtl/>
        </w:rPr>
      </w:pPr>
      <w:r w:rsidRPr="008C0FB5">
        <w:rPr>
          <w:rtl/>
        </w:rPr>
        <w:t>فا</w:t>
      </w:r>
      <w:r w:rsidR="00F2707D" w:rsidRPr="008C0FB5">
        <w:rPr>
          <w:rtl/>
        </w:rPr>
        <w:t>لإ</w:t>
      </w:r>
      <w:r w:rsidR="004C2766" w:rsidRPr="008C0FB5">
        <w:rPr>
          <w:rtl/>
        </w:rPr>
        <w:t>هداء ال</w:t>
      </w:r>
      <w:r w:rsidR="00F2707D" w:rsidRPr="008C0FB5">
        <w:rPr>
          <w:rtl/>
        </w:rPr>
        <w:t>ى من أرسله الله تعالى رحمة ل</w:t>
      </w:r>
      <w:r w:rsidR="00007798" w:rsidRPr="008C0FB5">
        <w:rPr>
          <w:rtl/>
        </w:rPr>
        <w:t xml:space="preserve">لبشرية </w:t>
      </w:r>
      <w:r w:rsidR="00F2707D" w:rsidRPr="008C0FB5">
        <w:rPr>
          <w:rtl/>
        </w:rPr>
        <w:t xml:space="preserve">جمعاء </w:t>
      </w:r>
      <w:r w:rsidR="00007798" w:rsidRPr="008C0FB5">
        <w:rPr>
          <w:rtl/>
        </w:rPr>
        <w:t>ومنبع العلم نبينا محمد</w:t>
      </w:r>
      <w:r w:rsidR="0005443B" w:rsidRPr="008C0FB5">
        <w:t></w:t>
      </w:r>
    </w:p>
    <w:p w14:paraId="447E89AF" w14:textId="77777777" w:rsidR="006673A7" w:rsidRPr="008C0FB5" w:rsidRDefault="00007798" w:rsidP="00155784">
      <w:pPr>
        <w:pStyle w:val="35"/>
        <w:rPr>
          <w:rtl/>
        </w:rPr>
      </w:pPr>
      <w:r w:rsidRPr="008C0FB5">
        <w:rPr>
          <w:rtl/>
        </w:rPr>
        <w:t xml:space="preserve"> </w:t>
      </w:r>
      <w:r w:rsidR="002D4B52" w:rsidRPr="008C0FB5">
        <w:rPr>
          <w:rtl/>
        </w:rPr>
        <w:t>سيّدتي</w:t>
      </w:r>
      <w:r w:rsidR="00683037" w:rsidRPr="008C0FB5">
        <w:rPr>
          <w:rtl/>
        </w:rPr>
        <w:t xml:space="preserve"> و</w:t>
      </w:r>
      <w:r w:rsidR="002D4B52" w:rsidRPr="008C0FB5">
        <w:rPr>
          <w:rtl/>
        </w:rPr>
        <w:t>مولاتي</w:t>
      </w:r>
      <w:r w:rsidR="00E44FCC" w:rsidRPr="008C0FB5">
        <w:rPr>
          <w:rtl/>
        </w:rPr>
        <w:t>.</w:t>
      </w:r>
      <w:proofErr w:type="gramStart"/>
      <w:r w:rsidR="00E44FCC" w:rsidRPr="008C0FB5">
        <w:rPr>
          <w:rtl/>
        </w:rPr>
        <w:t>. .</w:t>
      </w:r>
      <w:proofErr w:type="gramEnd"/>
      <w:r w:rsidR="00990BBF" w:rsidRPr="008C0FB5">
        <w:rPr>
          <w:rtl/>
        </w:rPr>
        <w:t xml:space="preserve"> </w:t>
      </w:r>
      <w:r w:rsidR="00F2707D" w:rsidRPr="008C0FB5">
        <w:rPr>
          <w:rtl/>
        </w:rPr>
        <w:t>إ</w:t>
      </w:r>
      <w:r w:rsidR="002D4B52" w:rsidRPr="008C0FB5">
        <w:rPr>
          <w:rtl/>
        </w:rPr>
        <w:t>ليك يا راضية</w:t>
      </w:r>
      <w:r w:rsidR="00E44FCC" w:rsidRPr="008C0FB5">
        <w:rPr>
          <w:rtl/>
        </w:rPr>
        <w:t>..</w:t>
      </w:r>
      <w:r w:rsidR="00990BBF" w:rsidRPr="008C0FB5">
        <w:rPr>
          <w:rtl/>
        </w:rPr>
        <w:t xml:space="preserve"> </w:t>
      </w:r>
      <w:r w:rsidR="00F2707D" w:rsidRPr="008C0FB5">
        <w:rPr>
          <w:rtl/>
        </w:rPr>
        <w:t>إ</w:t>
      </w:r>
      <w:r w:rsidR="002D4B52" w:rsidRPr="008C0FB5">
        <w:rPr>
          <w:rtl/>
        </w:rPr>
        <w:t>ليك يا مرضية</w:t>
      </w:r>
      <w:r w:rsidR="00E44FCC" w:rsidRPr="008C0FB5">
        <w:rPr>
          <w:rtl/>
        </w:rPr>
        <w:t>.</w:t>
      </w:r>
      <w:proofErr w:type="gramStart"/>
      <w:r w:rsidR="00E44FCC" w:rsidRPr="008C0FB5">
        <w:rPr>
          <w:rtl/>
        </w:rPr>
        <w:t>. .</w:t>
      </w:r>
      <w:proofErr w:type="gramEnd"/>
      <w:r w:rsidR="00E44FCC" w:rsidRPr="008C0FB5">
        <w:rPr>
          <w:rtl/>
        </w:rPr>
        <w:t xml:space="preserve"> </w:t>
      </w:r>
    </w:p>
    <w:p w14:paraId="4574D5A4" w14:textId="77777777" w:rsidR="006673A7" w:rsidRPr="008C0FB5" w:rsidRDefault="00F2707D" w:rsidP="00155784">
      <w:pPr>
        <w:pStyle w:val="35"/>
        <w:rPr>
          <w:rFonts w:cs="Times New Roman"/>
          <w:rtl/>
        </w:rPr>
      </w:pPr>
      <w:r w:rsidRPr="008C0FB5">
        <w:rPr>
          <w:rtl/>
        </w:rPr>
        <w:t>إ</w:t>
      </w:r>
      <w:r w:rsidR="002D4B52" w:rsidRPr="008C0FB5">
        <w:rPr>
          <w:rtl/>
        </w:rPr>
        <w:t>ليك يا حبيبة المختار</w:t>
      </w:r>
      <w:r w:rsidR="00683037" w:rsidRPr="008C0FB5">
        <w:rPr>
          <w:rtl/>
        </w:rPr>
        <w:t xml:space="preserve"> و</w:t>
      </w:r>
      <w:r w:rsidR="002D4B52" w:rsidRPr="008C0FB5">
        <w:rPr>
          <w:rtl/>
        </w:rPr>
        <w:t>روحه التي بين جنبيه</w:t>
      </w:r>
      <w:r w:rsidR="00E44FCC" w:rsidRPr="008C0FB5">
        <w:rPr>
          <w:rFonts w:cs="Times New Roman"/>
          <w:rtl/>
        </w:rPr>
        <w:t>.</w:t>
      </w:r>
      <w:proofErr w:type="gramStart"/>
      <w:r w:rsidR="00E44FCC" w:rsidRPr="008C0FB5">
        <w:rPr>
          <w:rFonts w:cs="Times New Roman"/>
          <w:rtl/>
        </w:rPr>
        <w:t>. .</w:t>
      </w:r>
      <w:proofErr w:type="gramEnd"/>
      <w:r w:rsidR="00E44FCC" w:rsidRPr="008C0FB5">
        <w:rPr>
          <w:rFonts w:cs="Times New Roman"/>
          <w:rtl/>
        </w:rPr>
        <w:t xml:space="preserve"> </w:t>
      </w:r>
    </w:p>
    <w:p w14:paraId="2E34D0F7" w14:textId="77777777" w:rsidR="006673A7" w:rsidRPr="008C0FB5" w:rsidRDefault="008C7DFF" w:rsidP="00155784">
      <w:pPr>
        <w:pStyle w:val="affffffe"/>
        <w:rPr>
          <w:color w:val="auto"/>
          <w:sz w:val="32"/>
          <w:szCs w:val="32"/>
          <w:rtl/>
        </w:rPr>
      </w:pPr>
      <w:r w:rsidRPr="008C0FB5">
        <w:rPr>
          <w:color w:val="auto"/>
          <w:sz w:val="32"/>
          <w:szCs w:val="32"/>
        </w:rPr>
        <w:t></w:t>
      </w:r>
      <w:r w:rsidR="002D4B52" w:rsidRPr="008C0FB5">
        <w:rPr>
          <w:color w:val="auto"/>
          <w:sz w:val="32"/>
          <w:szCs w:val="32"/>
        </w:rPr>
        <w:t></w:t>
      </w:r>
      <w:r w:rsidR="002D4B52" w:rsidRPr="008C0FB5">
        <w:rPr>
          <w:color w:val="auto"/>
          <w:sz w:val="32"/>
          <w:szCs w:val="32"/>
          <w:rtl/>
        </w:rPr>
        <w:t xml:space="preserve">يَا أَيُّهَا الْعَزِيزُ مَسَّنَا وَأَهْلَنَا الضُّرُّ وَجِئْنَا بِبِضَاعَةٍ مُّزْجَاةٍ فَأَوْفِ لَنَا الْكَيْلَ </w:t>
      </w:r>
      <w:r w:rsidR="004C2766" w:rsidRPr="008C0FB5">
        <w:rPr>
          <w:color w:val="auto"/>
          <w:sz w:val="32"/>
          <w:szCs w:val="32"/>
          <w:rtl/>
        </w:rPr>
        <w:t>وَتَصَدَّقْ عَلَيْنَا إِنَّ الل</w:t>
      </w:r>
      <w:r w:rsidR="002D4B52" w:rsidRPr="008C0FB5">
        <w:rPr>
          <w:color w:val="auto"/>
          <w:sz w:val="32"/>
          <w:szCs w:val="32"/>
          <w:rtl/>
        </w:rPr>
        <w:t>هَ يَجْزِي الْمُتَصَدِّقِينَ</w:t>
      </w:r>
      <w:proofErr w:type="gramStart"/>
      <w:r w:rsidRPr="008C0FB5">
        <w:rPr>
          <w:color w:val="auto"/>
          <w:sz w:val="32"/>
          <w:szCs w:val="32"/>
        </w:rPr>
        <w:t></w:t>
      </w:r>
      <w:r w:rsidR="00FD70E3" w:rsidRPr="008C0FB5">
        <w:rPr>
          <w:color w:val="auto"/>
          <w:sz w:val="32"/>
          <w:szCs w:val="32"/>
          <w:rtl/>
        </w:rPr>
        <w:t>.</w:t>
      </w:r>
      <w:r w:rsidR="00155784" w:rsidRPr="008C0FB5">
        <w:rPr>
          <w:rFonts w:ascii="Lotus Linotype" w:hAnsi="Lotus Linotype"/>
          <w:color w:val="auto"/>
          <w:rtl/>
        </w:rPr>
        <w:t>(</w:t>
      </w:r>
      <w:proofErr w:type="gramEnd"/>
      <w:r w:rsidR="00155784" w:rsidRPr="008C0FB5">
        <w:rPr>
          <w:rFonts w:ascii="Lotus Linotype" w:hAnsi="Lotus Linotype"/>
          <w:color w:val="auto"/>
          <w:rtl/>
        </w:rPr>
        <w:t xml:space="preserve">سورة </w:t>
      </w:r>
      <w:r w:rsidR="00155784" w:rsidRPr="008C0FB5">
        <w:rPr>
          <w:rFonts w:ascii="Lotus Linotype" w:hAnsi="Lotus Linotype" w:hint="cs"/>
          <w:color w:val="auto"/>
          <w:rtl/>
        </w:rPr>
        <w:t>یوسف</w:t>
      </w:r>
      <w:r w:rsidR="00155784" w:rsidRPr="008C0FB5">
        <w:rPr>
          <w:rFonts w:ascii="Lotus Linotype" w:hAnsi="Lotus Linotype"/>
          <w:color w:val="auto"/>
          <w:rtl/>
        </w:rPr>
        <w:t xml:space="preserve">، الآية </w:t>
      </w:r>
      <w:r w:rsidR="00155784" w:rsidRPr="008C0FB5">
        <w:rPr>
          <w:rFonts w:ascii="Lotus Linotype" w:hAnsi="Lotus Linotype" w:hint="cs"/>
          <w:color w:val="auto"/>
          <w:rtl/>
        </w:rPr>
        <w:t>88</w:t>
      </w:r>
      <w:r w:rsidR="00155784" w:rsidRPr="008C0FB5">
        <w:rPr>
          <w:rFonts w:ascii="Lotus Linotype" w:hAnsi="Lotus Linotype"/>
          <w:color w:val="auto"/>
          <w:rtl/>
        </w:rPr>
        <w:t>)</w:t>
      </w:r>
      <w:r w:rsidR="00155784" w:rsidRPr="008C0FB5">
        <w:rPr>
          <w:color w:val="auto"/>
          <w:rtl/>
        </w:rPr>
        <w:t>.</w:t>
      </w:r>
    </w:p>
    <w:p w14:paraId="3B416C25" w14:textId="77777777" w:rsidR="00007798" w:rsidRPr="008C0FB5" w:rsidRDefault="002D4B52" w:rsidP="00155784">
      <w:pPr>
        <w:pStyle w:val="35"/>
        <w:rPr>
          <w:rFonts w:hint="cs"/>
          <w:rtl/>
        </w:rPr>
      </w:pPr>
      <w:r w:rsidRPr="008C0FB5">
        <w:rPr>
          <w:rtl/>
        </w:rPr>
        <w:t>سيّدتي</w:t>
      </w:r>
      <w:r w:rsidR="00E44FCC" w:rsidRPr="008C0FB5">
        <w:rPr>
          <w:rtl/>
        </w:rPr>
        <w:t>..</w:t>
      </w:r>
      <w:r w:rsidR="00990BBF" w:rsidRPr="008C0FB5">
        <w:rPr>
          <w:rtl/>
        </w:rPr>
        <w:t xml:space="preserve"> </w:t>
      </w:r>
      <w:r w:rsidRPr="008C0FB5">
        <w:rPr>
          <w:rtl/>
        </w:rPr>
        <w:t>أُهديك هذا الجهد المتواضع</w:t>
      </w:r>
      <w:r w:rsidR="00E44FCC" w:rsidRPr="008C0FB5">
        <w:rPr>
          <w:rtl/>
        </w:rPr>
        <w:t>..</w:t>
      </w:r>
      <w:r w:rsidR="00990BBF" w:rsidRPr="008C0FB5">
        <w:rPr>
          <w:rtl/>
        </w:rPr>
        <w:t xml:space="preserve"> </w:t>
      </w:r>
      <w:r w:rsidR="00683037" w:rsidRPr="008C0FB5">
        <w:rPr>
          <w:rtl/>
        </w:rPr>
        <w:t>و</w:t>
      </w:r>
      <w:r w:rsidRPr="008C0FB5">
        <w:rPr>
          <w:rtl/>
        </w:rPr>
        <w:t>هو بضاعتي المزجاة</w:t>
      </w:r>
      <w:r w:rsidR="00E44FCC" w:rsidRPr="008C0FB5">
        <w:rPr>
          <w:rtl/>
        </w:rPr>
        <w:t>..</w:t>
      </w:r>
      <w:r w:rsidR="00990BBF" w:rsidRPr="008C0FB5">
        <w:rPr>
          <w:rtl/>
        </w:rPr>
        <w:t xml:space="preserve"> </w:t>
      </w:r>
      <w:r w:rsidR="00683037" w:rsidRPr="008C0FB5">
        <w:rPr>
          <w:rtl/>
        </w:rPr>
        <w:t>و</w:t>
      </w:r>
      <w:r w:rsidRPr="008C0FB5">
        <w:rPr>
          <w:rtl/>
        </w:rPr>
        <w:t>صحيفة ولائي الخالص</w:t>
      </w:r>
      <w:r w:rsidR="00E44FCC" w:rsidRPr="008C0FB5">
        <w:rPr>
          <w:rtl/>
        </w:rPr>
        <w:t>..</w:t>
      </w:r>
      <w:r w:rsidR="00990BBF" w:rsidRPr="008C0FB5">
        <w:rPr>
          <w:rtl/>
        </w:rPr>
        <w:t xml:space="preserve"> </w:t>
      </w:r>
      <w:r w:rsidRPr="008C0FB5">
        <w:rPr>
          <w:rtl/>
        </w:rPr>
        <w:t>راجياً من الله تعالى</w:t>
      </w:r>
      <w:r w:rsidR="00683037" w:rsidRPr="008C0FB5">
        <w:rPr>
          <w:rtl/>
        </w:rPr>
        <w:t xml:space="preserve"> و</w:t>
      </w:r>
      <w:r w:rsidRPr="008C0FB5">
        <w:rPr>
          <w:rtl/>
        </w:rPr>
        <w:t>منكم القبول</w:t>
      </w:r>
      <w:r w:rsidR="00E44FCC" w:rsidRPr="008C0FB5">
        <w:rPr>
          <w:rtl/>
        </w:rPr>
        <w:t xml:space="preserve">. </w:t>
      </w:r>
    </w:p>
    <w:p w14:paraId="57DEAE2B" w14:textId="77777777" w:rsidR="00155784" w:rsidRPr="008C0FB5" w:rsidRDefault="00155784" w:rsidP="00155784">
      <w:pPr>
        <w:pStyle w:val="35"/>
        <w:rPr>
          <w:rFonts w:hint="cs"/>
          <w:rtl/>
        </w:rPr>
      </w:pPr>
    </w:p>
    <w:p w14:paraId="14CC8296" w14:textId="77777777" w:rsidR="00155784" w:rsidRPr="008C0FB5" w:rsidRDefault="00155784" w:rsidP="00155784">
      <w:pPr>
        <w:pStyle w:val="35"/>
      </w:pPr>
      <w:r w:rsidRPr="008C0FB5">
        <w:rPr>
          <w:rFonts w:hint="cs"/>
          <w:rtl/>
        </w:rPr>
        <w:t>إلى من كان له عمق الجهد في تحقيق النجاح في هذه الرحلة العلمية... والدي العزيز.</w:t>
      </w:r>
    </w:p>
    <w:p w14:paraId="04BA7B9A" w14:textId="77777777" w:rsidR="00155784" w:rsidRPr="008C0FB5" w:rsidRDefault="00155784" w:rsidP="00155784">
      <w:pPr>
        <w:pStyle w:val="35"/>
        <w:rPr>
          <w:rFonts w:hint="cs"/>
          <w:rtl/>
        </w:rPr>
      </w:pPr>
      <w:r w:rsidRPr="008C0FB5">
        <w:rPr>
          <w:rFonts w:hint="cs"/>
          <w:rtl/>
        </w:rPr>
        <w:t>إلى التي حملتني وهناً على وهنٍ ... والدتي العزيزة (رحمها الله).</w:t>
      </w:r>
    </w:p>
    <w:p w14:paraId="012484E3" w14:textId="77777777" w:rsidR="00155784" w:rsidRPr="008C0FB5" w:rsidRDefault="00155784" w:rsidP="00155784">
      <w:pPr>
        <w:pStyle w:val="35"/>
      </w:pPr>
      <w:r w:rsidRPr="008C0FB5">
        <w:rPr>
          <w:rFonts w:hint="cs"/>
          <w:rtl/>
        </w:rPr>
        <w:t>إلى جميع الزملاء الذين ما أنفكوا يفيضون عليَّ ببركة جوده وإحسانه....</w:t>
      </w:r>
    </w:p>
    <w:p w14:paraId="710AA5F2" w14:textId="09B5FA48" w:rsidR="00155784" w:rsidRPr="008C0FB5" w:rsidRDefault="007C3C34" w:rsidP="00155784">
      <w:pPr>
        <w:pStyle w:val="35"/>
        <w:ind w:left="5760" w:firstLine="720"/>
        <w:rPr>
          <w:rFonts w:hint="cs"/>
          <w:rtl/>
        </w:rPr>
      </w:pPr>
      <w:r w:rsidRPr="008C0FB5">
        <w:rPr>
          <w:noProof/>
          <w:rtl/>
          <w:lang w:bidi="ar-SA"/>
        </w:rPr>
        <w:drawing>
          <wp:anchor distT="0" distB="0" distL="114300" distR="114300" simplePos="0" relativeHeight="251658752" behindDoc="1" locked="0" layoutInCell="1" allowOverlap="1" wp14:anchorId="738CC970" wp14:editId="13B45F3A">
            <wp:simplePos x="0" y="0"/>
            <wp:positionH relativeFrom="column">
              <wp:posOffset>1957705</wp:posOffset>
            </wp:positionH>
            <wp:positionV relativeFrom="paragraph">
              <wp:posOffset>201295</wp:posOffset>
            </wp:positionV>
            <wp:extent cx="1407795" cy="2713355"/>
            <wp:effectExtent l="0" t="0" r="0" b="0"/>
            <wp:wrapNone/>
            <wp:docPr id="1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779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784" w:rsidRPr="008C0FB5">
        <w:rPr>
          <w:rFonts w:hint="cs"/>
          <w:rtl/>
        </w:rPr>
        <w:t>الباحث</w:t>
      </w:r>
    </w:p>
    <w:p w14:paraId="408D1892" w14:textId="77777777" w:rsidR="00155784" w:rsidRPr="008C0FB5" w:rsidRDefault="00155784" w:rsidP="00155784">
      <w:pPr>
        <w:pStyle w:val="35"/>
        <w:rPr>
          <w:rtl/>
        </w:rPr>
      </w:pPr>
    </w:p>
    <w:p w14:paraId="7FF46E61" w14:textId="77777777" w:rsidR="00007798" w:rsidRPr="008C0FB5" w:rsidRDefault="002D4B52" w:rsidP="00155784">
      <w:pPr>
        <w:pStyle w:val="35"/>
        <w:rPr>
          <w:rFonts w:cs="Sultan Medium"/>
          <w:rtl/>
        </w:rPr>
      </w:pPr>
      <w:r w:rsidRPr="008C0FB5">
        <w:rPr>
          <w:rtl/>
        </w:rPr>
        <w:t xml:space="preserve"> </w:t>
      </w:r>
    </w:p>
    <w:p w14:paraId="5F3B7B2B" w14:textId="77777777" w:rsidR="00007798" w:rsidRPr="008C0FB5" w:rsidRDefault="00007798" w:rsidP="00155784">
      <w:pPr>
        <w:pStyle w:val="35"/>
        <w:rPr>
          <w:rtl/>
        </w:rPr>
      </w:pPr>
    </w:p>
    <w:p w14:paraId="07F10B3F" w14:textId="77777777" w:rsidR="00F63793" w:rsidRDefault="00F63793" w:rsidP="00155784">
      <w:pPr>
        <w:pStyle w:val="affffff7"/>
        <w:jc w:val="left"/>
        <w:rPr>
          <w:color w:val="auto"/>
          <w:sz w:val="40"/>
          <w:szCs w:val="40"/>
          <w:rtl/>
          <w:lang w:bidi="ar-IQ"/>
        </w:rPr>
        <w:sectPr w:rsidR="00F63793" w:rsidSect="00CB24B8">
          <w:footnotePr>
            <w:numRestart w:val="eachPage"/>
          </w:footnotePr>
          <w:type w:val="oddPage"/>
          <w:pgSz w:w="11906" w:h="16838" w:code="9"/>
          <w:pgMar w:top="1701" w:right="1701" w:bottom="1701" w:left="1418" w:header="1418" w:footer="1418" w:gutter="0"/>
          <w:cols w:space="708"/>
          <w:titlePg/>
          <w:bidi/>
          <w:rtlGutter/>
          <w:docGrid w:linePitch="360"/>
        </w:sectPr>
      </w:pPr>
    </w:p>
    <w:p w14:paraId="45493592" w14:textId="77777777" w:rsidR="00155784" w:rsidRPr="008C0FB5" w:rsidRDefault="00155784" w:rsidP="00155784">
      <w:pPr>
        <w:pStyle w:val="affffff7"/>
        <w:jc w:val="left"/>
        <w:rPr>
          <w:color w:val="auto"/>
          <w:sz w:val="40"/>
          <w:szCs w:val="40"/>
          <w:rtl/>
          <w:lang w:bidi="ar-IQ"/>
        </w:rPr>
        <w:sectPr w:rsidR="00155784" w:rsidRPr="008C0FB5" w:rsidSect="00F63793">
          <w:footnotePr>
            <w:numRestart w:val="eachPage"/>
          </w:footnotePr>
          <w:pgSz w:w="11906" w:h="16838" w:code="9"/>
          <w:pgMar w:top="1701" w:right="1701" w:bottom="1701" w:left="1418" w:header="1418" w:footer="1418" w:gutter="0"/>
          <w:cols w:space="708"/>
          <w:titlePg/>
          <w:bidi/>
          <w:rtlGutter/>
          <w:docGrid w:linePitch="360"/>
        </w:sectPr>
      </w:pPr>
    </w:p>
    <w:p w14:paraId="2498F908" w14:textId="391B532C" w:rsidR="00007798" w:rsidRPr="008C0FB5" w:rsidRDefault="007C3C34" w:rsidP="00155784">
      <w:pPr>
        <w:pStyle w:val="affffff7"/>
        <w:jc w:val="left"/>
        <w:rPr>
          <w:color w:val="auto"/>
          <w:sz w:val="32"/>
          <w:szCs w:val="32"/>
          <w:rtl/>
          <w:lang w:bidi="ar-IQ"/>
        </w:rPr>
      </w:pPr>
      <w:bookmarkStart w:id="4" w:name="_Toc8634634"/>
      <w:bookmarkStart w:id="5" w:name="_Toc8643617"/>
      <w:r w:rsidRPr="008C0FB5">
        <w:rPr>
          <w:color w:val="auto"/>
          <w:sz w:val="32"/>
          <w:szCs w:val="32"/>
          <w:rtl/>
          <w:lang w:bidi="ar-IQ"/>
        </w:rPr>
        <w:lastRenderedPageBreak/>
        <mc:AlternateContent>
          <mc:Choice Requires="wps">
            <w:drawing>
              <wp:anchor distT="0" distB="0" distL="114300" distR="114300" simplePos="0" relativeHeight="251660800" behindDoc="1" locked="0" layoutInCell="1" allowOverlap="1" wp14:anchorId="7B18D47B" wp14:editId="14090541">
                <wp:simplePos x="0" y="0"/>
                <wp:positionH relativeFrom="column">
                  <wp:posOffset>-104775</wp:posOffset>
                </wp:positionH>
                <wp:positionV relativeFrom="paragraph">
                  <wp:posOffset>-156210</wp:posOffset>
                </wp:positionV>
                <wp:extent cx="5913755" cy="8775700"/>
                <wp:effectExtent l="5080" t="9525" r="5715" b="6350"/>
                <wp:wrapNone/>
                <wp:docPr id="1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8775700"/>
                        </a:xfrm>
                        <a:prstGeom prst="roundRect">
                          <a:avLst>
                            <a:gd name="adj" fmla="val 4421"/>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8B424" w14:textId="77777777" w:rsidR="008C0FB5" w:rsidRPr="0094067A" w:rsidRDefault="008C0FB5" w:rsidP="0094067A">
                            <w:pPr>
                              <w:pStyle w:val="affffff7"/>
                              <w:jc w:val="left"/>
                              <w:rPr>
                                <w:color w:val="auto"/>
                                <w:sz w:val="30"/>
                                <w:szCs w:val="30"/>
                                <w:rtl/>
                                <w:lang w:bidi="ar-IQ"/>
                              </w:rPr>
                            </w:pPr>
                          </w:p>
                          <w:p w14:paraId="21738C5E" w14:textId="77777777" w:rsidR="008C0FB5" w:rsidRPr="0094067A" w:rsidRDefault="008C0FB5" w:rsidP="0094067A">
                            <w:pPr>
                              <w:pStyle w:val="affffff7"/>
                              <w:jc w:val="left"/>
                              <w:rPr>
                                <w:color w:val="auto"/>
                                <w:sz w:val="30"/>
                                <w:szCs w:val="30"/>
                                <w:rtl/>
                                <w:lang w:bidi="ar-IQ"/>
                              </w:rPr>
                            </w:pPr>
                          </w:p>
                          <w:p w14:paraId="68DCA9F8" w14:textId="77777777" w:rsidR="008C0FB5" w:rsidRPr="000F6798" w:rsidRDefault="008C0FB5" w:rsidP="00AA00E3">
                            <w:pPr>
                              <w:pStyle w:val="ab"/>
                              <w:rPr>
                                <w:rtl/>
                              </w:rPr>
                            </w:pPr>
                          </w:p>
                          <w:p w14:paraId="7471754B" w14:textId="77777777" w:rsidR="008C0FB5" w:rsidRPr="000F6798" w:rsidRDefault="008C0FB5" w:rsidP="00AA00E3">
                            <w:pPr>
                              <w:pStyle w:val="ab"/>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18D47B" id="_x0000_s1028" style="position:absolute;left:0;text-align:left;margin-left:-8.25pt;margin-top:-12.3pt;width:465.65pt;height:6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" filled="f" strokeweight=".5pt">
                <v:textbox>
                  <w:txbxContent>
                    <w:p w14:paraId="1288B424" w14:textId="77777777" w:rsidR="008C0FB5" w:rsidRPr="0094067A" w:rsidRDefault="008C0FB5" w:rsidP="0094067A">
                      <w:pPr>
                        <w:pStyle w:val="affffff7"/>
                        <w:jc w:val="left"/>
                        <w:rPr>
                          <w:color w:val="auto"/>
                          <w:sz w:val="30"/>
                          <w:szCs w:val="30"/>
                          <w:rtl/>
                          <w:lang w:bidi="ar-IQ"/>
                        </w:rPr>
                      </w:pPr>
                    </w:p>
                    <w:p w14:paraId="21738C5E" w14:textId="77777777" w:rsidR="008C0FB5" w:rsidRPr="0094067A" w:rsidRDefault="008C0FB5" w:rsidP="0094067A">
                      <w:pPr>
                        <w:pStyle w:val="affffff7"/>
                        <w:jc w:val="left"/>
                        <w:rPr>
                          <w:color w:val="auto"/>
                          <w:sz w:val="30"/>
                          <w:szCs w:val="30"/>
                          <w:rtl/>
                          <w:lang w:bidi="ar-IQ"/>
                        </w:rPr>
                      </w:pPr>
                    </w:p>
                    <w:p w14:paraId="68DCA9F8" w14:textId="77777777" w:rsidR="008C0FB5" w:rsidRPr="000F6798" w:rsidRDefault="008C0FB5" w:rsidP="00AA00E3">
                      <w:pPr>
                        <w:pStyle w:val="ab"/>
                        <w:rPr>
                          <w:rtl/>
                        </w:rPr>
                      </w:pPr>
                    </w:p>
                    <w:p w14:paraId="7471754B" w14:textId="77777777" w:rsidR="008C0FB5" w:rsidRPr="000F6798" w:rsidRDefault="008C0FB5" w:rsidP="00AA00E3">
                      <w:pPr>
                        <w:pStyle w:val="ab"/>
                      </w:pPr>
                    </w:p>
                  </w:txbxContent>
                </v:textbox>
              </v:roundrect>
            </w:pict>
          </mc:Fallback>
        </mc:AlternateContent>
      </w:r>
      <w:r w:rsidR="00007798" w:rsidRPr="008C0FB5">
        <w:rPr>
          <w:color w:val="auto"/>
          <w:sz w:val="32"/>
          <w:szCs w:val="32"/>
          <w:rtl/>
          <w:lang w:bidi="ar-IQ"/>
        </w:rPr>
        <w:t>شكر وتقدير</w:t>
      </w:r>
      <w:bookmarkEnd w:id="4"/>
      <w:bookmarkEnd w:id="5"/>
    </w:p>
    <w:p w14:paraId="1B967D54" w14:textId="77777777" w:rsidR="00007798" w:rsidRPr="008C0FB5" w:rsidRDefault="00007798" w:rsidP="00155784">
      <w:pPr>
        <w:pStyle w:val="35"/>
        <w:rPr>
          <w:rtl/>
        </w:rPr>
      </w:pPr>
      <w:r w:rsidRPr="008C0FB5">
        <w:rPr>
          <w:rtl/>
        </w:rPr>
        <w:t>أشكر الله مولاي وخالقي الذي منّ عليّ</w:t>
      </w:r>
      <w:r w:rsidRPr="008C0FB5">
        <w:t></w:t>
      </w:r>
      <w:r w:rsidRPr="008C0FB5">
        <w:rPr>
          <w:rtl/>
        </w:rPr>
        <w:t>بإتمام هذا العمل المتواضع مـع رجـائي أن يتقبله مني ويجعله خالصاً لوجهه الكريم</w:t>
      </w:r>
      <w:r w:rsidR="00E44FCC" w:rsidRPr="008C0FB5">
        <w:rPr>
          <w:rtl/>
        </w:rPr>
        <w:t xml:space="preserve">. </w:t>
      </w:r>
    </w:p>
    <w:p w14:paraId="7752B5B0" w14:textId="77777777" w:rsidR="004C2766" w:rsidRPr="008C0FB5" w:rsidRDefault="00007798" w:rsidP="00155784">
      <w:pPr>
        <w:pStyle w:val="35"/>
        <w:rPr>
          <w:rtl/>
        </w:rPr>
      </w:pPr>
      <w:r w:rsidRPr="008C0FB5">
        <w:rPr>
          <w:rtl/>
        </w:rPr>
        <w:t xml:space="preserve"> وكذلك شكري ومتناني </w:t>
      </w:r>
      <w:r w:rsidR="00F2707D" w:rsidRPr="008C0FB5">
        <w:rPr>
          <w:rtl/>
        </w:rPr>
        <w:t>إ</w:t>
      </w:r>
      <w:r w:rsidRPr="008C0FB5">
        <w:rPr>
          <w:rtl/>
        </w:rPr>
        <w:t xml:space="preserve">لى سيدي ومولاي صاحب العصر والزمان للطفه الخفي </w:t>
      </w:r>
      <w:r w:rsidR="00F2707D" w:rsidRPr="008C0FB5">
        <w:rPr>
          <w:rtl/>
        </w:rPr>
        <w:t>إ</w:t>
      </w:r>
      <w:r w:rsidRPr="008C0FB5">
        <w:rPr>
          <w:rtl/>
        </w:rPr>
        <w:t>نطلاقا</w:t>
      </w:r>
      <w:r w:rsidR="00F2707D" w:rsidRPr="008C0FB5">
        <w:rPr>
          <w:rtl/>
        </w:rPr>
        <w:t>ً</w:t>
      </w:r>
      <w:r w:rsidRPr="008C0FB5">
        <w:rPr>
          <w:rtl/>
        </w:rPr>
        <w:t xml:space="preserve"> من قوله تعالى</w:t>
      </w:r>
      <w:r w:rsidR="00FD70E3" w:rsidRPr="008C0FB5">
        <w:rPr>
          <w:rtl/>
        </w:rPr>
        <w:t xml:space="preserve">: </w:t>
      </w:r>
      <w:r w:rsidR="00673070" w:rsidRPr="008C0FB5">
        <w:rPr>
          <w:rStyle w:val="Charffd"/>
          <w:rFonts w:eastAsia="Calibri"/>
          <w:color w:val="auto"/>
          <w:sz w:val="36"/>
          <w:szCs w:val="36"/>
        </w:rPr>
        <w:t></w:t>
      </w:r>
      <w:r w:rsidRPr="008C0FB5">
        <w:rPr>
          <w:rStyle w:val="Charffd"/>
          <w:rFonts w:eastAsia="Calibri"/>
          <w:color w:val="auto"/>
          <w:sz w:val="32"/>
          <w:szCs w:val="32"/>
          <w:rtl/>
        </w:rPr>
        <w:t>وَلَقَدْ آتَيْنَا لُقْمَانَ الْحِكْمَةَ أَنِ اشْكُرْ لِلهِ</w:t>
      </w:r>
      <w:r w:rsidR="005D60A2" w:rsidRPr="008C0FB5">
        <w:rPr>
          <w:rStyle w:val="Charffd"/>
          <w:rFonts w:eastAsia="Calibri"/>
          <w:color w:val="auto"/>
          <w:sz w:val="32"/>
          <w:szCs w:val="32"/>
          <w:rtl/>
        </w:rPr>
        <w:t xml:space="preserve"> </w:t>
      </w:r>
      <w:r w:rsidRPr="008C0FB5">
        <w:rPr>
          <w:rStyle w:val="Charffd"/>
          <w:rFonts w:eastAsia="Calibri"/>
          <w:color w:val="auto"/>
          <w:sz w:val="32"/>
          <w:szCs w:val="32"/>
          <w:rtl/>
        </w:rPr>
        <w:t>وَمَن يَشْكُرْ فَإِنَّمَا يَشْكُرُ لِنَفْسِهِ</w:t>
      </w:r>
      <w:r w:rsidR="005D60A2" w:rsidRPr="008C0FB5">
        <w:rPr>
          <w:rStyle w:val="Charffd"/>
          <w:rFonts w:eastAsia="Calibri"/>
          <w:color w:val="auto"/>
          <w:sz w:val="32"/>
          <w:szCs w:val="32"/>
          <w:rtl/>
        </w:rPr>
        <w:t xml:space="preserve"> </w:t>
      </w:r>
      <w:r w:rsidR="00FC0037" w:rsidRPr="008C0FB5">
        <w:rPr>
          <w:rStyle w:val="Charffd"/>
          <w:rFonts w:eastAsia="Calibri"/>
          <w:color w:val="auto"/>
          <w:sz w:val="32"/>
          <w:szCs w:val="32"/>
          <w:rtl/>
        </w:rPr>
        <w:t>وَمَن كَفَرَ فَإِنَّ الل</w:t>
      </w:r>
      <w:r w:rsidRPr="008C0FB5">
        <w:rPr>
          <w:rStyle w:val="Charffd"/>
          <w:rFonts w:eastAsia="Calibri"/>
          <w:color w:val="auto"/>
          <w:sz w:val="32"/>
          <w:szCs w:val="32"/>
          <w:rtl/>
        </w:rPr>
        <w:t>هَ غَنِيٌّ حَمِيدٌ</w:t>
      </w:r>
      <w:r w:rsidR="008C7DFF" w:rsidRPr="008C0FB5">
        <w:rPr>
          <w:rStyle w:val="Charffd"/>
          <w:rFonts w:eastAsia="Calibri"/>
          <w:color w:val="auto"/>
          <w:sz w:val="32"/>
          <w:szCs w:val="32"/>
        </w:rPr>
        <w:t></w:t>
      </w:r>
      <w:r w:rsidR="00957C71" w:rsidRPr="008C0FB5">
        <w:rPr>
          <w:rFonts w:ascii="Lotus Linotype" w:hAnsi="Lotus Linotype"/>
          <w:sz w:val="28"/>
          <w:szCs w:val="28"/>
          <w:rtl/>
        </w:rPr>
        <w:t xml:space="preserve"> </w:t>
      </w:r>
      <w:r w:rsidR="00957C71" w:rsidRPr="008C0FB5">
        <w:rPr>
          <w:rFonts w:ascii="Lotus Linotype" w:hAnsi="Lotus Linotype"/>
          <w:rtl/>
        </w:rPr>
        <w:t>(سورة لقمان</w:t>
      </w:r>
      <w:r w:rsidR="00376A1D" w:rsidRPr="008C0FB5">
        <w:rPr>
          <w:rFonts w:ascii="Lotus Linotype" w:hAnsi="Lotus Linotype"/>
          <w:rtl/>
        </w:rPr>
        <w:t xml:space="preserve">، </w:t>
      </w:r>
      <w:r w:rsidR="00472004" w:rsidRPr="008C0FB5">
        <w:rPr>
          <w:rFonts w:ascii="Lotus Linotype" w:hAnsi="Lotus Linotype"/>
          <w:rtl/>
        </w:rPr>
        <w:t>الآية</w:t>
      </w:r>
      <w:r w:rsidR="00957C71" w:rsidRPr="008C0FB5">
        <w:rPr>
          <w:rFonts w:ascii="Lotus Linotype" w:hAnsi="Lotus Linotype"/>
          <w:rtl/>
        </w:rPr>
        <w:t xml:space="preserve"> 12)</w:t>
      </w:r>
      <w:r w:rsidR="00E44FCC" w:rsidRPr="008C0FB5">
        <w:rPr>
          <w:rtl/>
        </w:rPr>
        <w:t xml:space="preserve">. </w:t>
      </w:r>
      <w:r w:rsidRPr="008C0FB5">
        <w:t></w:t>
      </w:r>
    </w:p>
    <w:p w14:paraId="3B11074A" w14:textId="77777777" w:rsidR="00007798" w:rsidRPr="008C0FB5" w:rsidRDefault="00007798" w:rsidP="005947C9">
      <w:pPr>
        <w:pStyle w:val="35"/>
        <w:rPr>
          <w:rtl/>
        </w:rPr>
      </w:pPr>
      <w:r w:rsidRPr="008C0FB5">
        <w:rPr>
          <w:rtl/>
        </w:rPr>
        <w:t>وإيمانا</w:t>
      </w:r>
      <w:r w:rsidR="00F2707D" w:rsidRPr="008C0FB5">
        <w:rPr>
          <w:rtl/>
        </w:rPr>
        <w:t>ً</w:t>
      </w:r>
      <w:r w:rsidRPr="008C0FB5">
        <w:rPr>
          <w:rtl/>
        </w:rPr>
        <w:t xml:space="preserve"> بفضل الاعتراف بالجميل وتقديم الشكر والامتنـان لأصحاب المعروف فإني أتقدم بالشكر الجزيل والثناء العظيم لكل من ساعد في إنجـاح هـذه الرسالة وأخص بالذكر</w:t>
      </w:r>
      <w:r w:rsidR="00FD70E3" w:rsidRPr="008C0FB5">
        <w:rPr>
          <w:rtl/>
        </w:rPr>
        <w:t xml:space="preserve">: </w:t>
      </w:r>
      <w:r w:rsidRPr="008C0FB5">
        <w:rPr>
          <w:rtl/>
        </w:rPr>
        <w:t xml:space="preserve">أستاذي </w:t>
      </w:r>
      <w:proofErr w:type="gramStart"/>
      <w:r w:rsidRPr="008C0FB5">
        <w:rPr>
          <w:rtl/>
        </w:rPr>
        <w:t>الفاضل  الدكتور</w:t>
      </w:r>
      <w:proofErr w:type="gramEnd"/>
      <w:r w:rsidR="005D60A2" w:rsidRPr="008C0FB5">
        <w:rPr>
          <w:rtl/>
        </w:rPr>
        <w:t xml:space="preserve"> </w:t>
      </w:r>
      <w:r w:rsidR="005947C9" w:rsidRPr="008C0FB5">
        <w:rPr>
          <w:rFonts w:hint="cs"/>
          <w:rtl/>
        </w:rPr>
        <w:t>الخاقاني</w:t>
      </w:r>
      <w:r w:rsidR="005D60A2" w:rsidRPr="008C0FB5">
        <w:rPr>
          <w:rtl/>
        </w:rPr>
        <w:t xml:space="preserve"> </w:t>
      </w:r>
      <w:r w:rsidR="00F2707D" w:rsidRPr="008C0FB5">
        <w:rPr>
          <w:rtl/>
        </w:rPr>
        <w:t>(</w:t>
      </w:r>
      <w:r w:rsidRPr="008C0FB5">
        <w:rPr>
          <w:rtl/>
        </w:rPr>
        <w:t xml:space="preserve">حفظه </w:t>
      </w:r>
      <w:r w:rsidR="00683037" w:rsidRPr="008C0FB5">
        <w:rPr>
          <w:rtl/>
        </w:rPr>
        <w:t>الله</w:t>
      </w:r>
      <w:r w:rsidR="00F2707D" w:rsidRPr="008C0FB5">
        <w:rPr>
          <w:rtl/>
        </w:rPr>
        <w:t>)</w:t>
      </w:r>
      <w:r w:rsidRPr="008C0FB5">
        <w:rPr>
          <w:rtl/>
        </w:rPr>
        <w:t xml:space="preserve"> على قبوله الإشراف علـى هذا البحث ومتابعته له</w:t>
      </w:r>
      <w:r w:rsidR="00E44FCC" w:rsidRPr="008C0FB5">
        <w:rPr>
          <w:rtl/>
        </w:rPr>
        <w:t>.</w:t>
      </w:r>
      <w:r w:rsidR="00990BBF" w:rsidRPr="008C0FB5">
        <w:rPr>
          <w:rtl/>
        </w:rPr>
        <w:t xml:space="preserve"> </w:t>
      </w:r>
      <w:r w:rsidRPr="008C0FB5">
        <w:rPr>
          <w:rtl/>
        </w:rPr>
        <w:t xml:space="preserve">أسأل </w:t>
      </w:r>
      <w:r w:rsidR="00683037" w:rsidRPr="008C0FB5">
        <w:rPr>
          <w:rtl/>
        </w:rPr>
        <w:t>الله</w:t>
      </w:r>
      <w:r w:rsidRPr="008C0FB5">
        <w:rPr>
          <w:rtl/>
        </w:rPr>
        <w:t xml:space="preserve"> أن يجزيه عن</w:t>
      </w:r>
      <w:r w:rsidR="00F2707D" w:rsidRPr="008C0FB5">
        <w:rPr>
          <w:rtl/>
        </w:rPr>
        <w:t>ّ</w:t>
      </w:r>
      <w:r w:rsidRPr="008C0FB5">
        <w:rPr>
          <w:rtl/>
        </w:rPr>
        <w:t>ي خير الجزاء</w:t>
      </w:r>
      <w:r w:rsidR="00E44FCC" w:rsidRPr="008C0FB5">
        <w:rPr>
          <w:rtl/>
        </w:rPr>
        <w:t>.</w:t>
      </w:r>
      <w:r w:rsidR="00836192" w:rsidRPr="008C0FB5">
        <w:rPr>
          <w:rtl/>
        </w:rPr>
        <w:t xml:space="preserve"> </w:t>
      </w:r>
      <w:r w:rsidRPr="008C0FB5">
        <w:rPr>
          <w:rtl/>
        </w:rPr>
        <w:t xml:space="preserve">كما وأتقدم بالشكر الجزيل لأستاذي الفاضل الدكتور </w:t>
      </w:r>
      <w:r w:rsidR="005947C9" w:rsidRPr="008C0FB5">
        <w:rPr>
          <w:rFonts w:hint="cs"/>
          <w:rtl/>
        </w:rPr>
        <w:t>حسين شريف العسكري</w:t>
      </w:r>
      <w:r w:rsidR="005D60A2" w:rsidRPr="008C0FB5">
        <w:rPr>
          <w:rtl/>
        </w:rPr>
        <w:t xml:space="preserve"> </w:t>
      </w:r>
      <w:r w:rsidR="00F2707D" w:rsidRPr="008C0FB5">
        <w:rPr>
          <w:rtl/>
        </w:rPr>
        <w:t>(</w:t>
      </w:r>
      <w:r w:rsidRPr="008C0FB5">
        <w:rPr>
          <w:rtl/>
        </w:rPr>
        <w:t xml:space="preserve">حفظه </w:t>
      </w:r>
      <w:r w:rsidR="00683037" w:rsidRPr="008C0FB5">
        <w:rPr>
          <w:rtl/>
        </w:rPr>
        <w:t>الله</w:t>
      </w:r>
      <w:r w:rsidR="00F2707D" w:rsidRPr="008C0FB5">
        <w:rPr>
          <w:rtl/>
        </w:rPr>
        <w:t>)</w:t>
      </w:r>
      <w:r w:rsidRPr="008C0FB5">
        <w:rPr>
          <w:rtl/>
        </w:rPr>
        <w:t xml:space="preserve"> على تفضله </w:t>
      </w:r>
      <w:r w:rsidR="00F2707D" w:rsidRPr="008C0FB5">
        <w:rPr>
          <w:rtl/>
        </w:rPr>
        <w:t>و</w:t>
      </w:r>
      <w:r w:rsidRPr="008C0FB5">
        <w:rPr>
          <w:rtl/>
        </w:rPr>
        <w:t>قبول</w:t>
      </w:r>
      <w:r w:rsidR="00F2707D" w:rsidRPr="008C0FB5">
        <w:rPr>
          <w:rtl/>
        </w:rPr>
        <w:t>ه أن يكون</w:t>
      </w:r>
      <w:r w:rsidR="005D60A2" w:rsidRPr="008C0FB5">
        <w:rPr>
          <w:rtl/>
        </w:rPr>
        <w:t xml:space="preserve"> </w:t>
      </w:r>
      <w:r w:rsidRPr="008C0FB5">
        <w:rPr>
          <w:rtl/>
        </w:rPr>
        <w:t>مساعد</w:t>
      </w:r>
      <w:r w:rsidR="00F2707D" w:rsidRPr="008C0FB5">
        <w:rPr>
          <w:rtl/>
        </w:rPr>
        <w:t>اً</w:t>
      </w:r>
      <w:r w:rsidRPr="008C0FB5">
        <w:rPr>
          <w:rtl/>
        </w:rPr>
        <w:t xml:space="preserve"> مشرف</w:t>
      </w:r>
      <w:r w:rsidR="00F2707D" w:rsidRPr="008C0FB5">
        <w:rPr>
          <w:rtl/>
        </w:rPr>
        <w:t>اً على رسالتي</w:t>
      </w:r>
      <w:r w:rsidR="00E44FCC" w:rsidRPr="008C0FB5">
        <w:rPr>
          <w:rtl/>
        </w:rPr>
        <w:t xml:space="preserve">. </w:t>
      </w:r>
    </w:p>
    <w:p w14:paraId="17518085" w14:textId="77777777" w:rsidR="00F63793" w:rsidRDefault="00007798" w:rsidP="00155784">
      <w:pPr>
        <w:pStyle w:val="35"/>
        <w:rPr>
          <w:rtl/>
        </w:rPr>
        <w:sectPr w:rsidR="00F63793" w:rsidSect="00007798">
          <w:headerReference w:type="even" r:id="rId14"/>
          <w:headerReference w:type="default" r:id="rId15"/>
          <w:footnotePr>
            <w:numRestart w:val="eachPage"/>
          </w:footnotePr>
          <w:pgSz w:w="11906" w:h="16838" w:code="9"/>
          <w:pgMar w:top="1701" w:right="1701" w:bottom="1701" w:left="1418" w:header="1418" w:footer="1418" w:gutter="0"/>
          <w:cols w:space="708"/>
          <w:titlePg/>
          <w:bidi/>
          <w:rtlGutter/>
          <w:docGrid w:linePitch="360"/>
        </w:sectPr>
      </w:pPr>
      <w:r w:rsidRPr="008C0FB5">
        <w:rPr>
          <w:rtl/>
        </w:rPr>
        <w:t>كما وأتقدم بالعرفان والتقدير لجامعة أصول الدين</w:t>
      </w:r>
      <w:r w:rsidR="00376A1D" w:rsidRPr="008C0FB5">
        <w:rPr>
          <w:rtl/>
        </w:rPr>
        <w:t xml:space="preserve">، </w:t>
      </w:r>
      <w:proofErr w:type="gramStart"/>
      <w:r w:rsidRPr="008C0FB5">
        <w:rPr>
          <w:rtl/>
        </w:rPr>
        <w:t>رئاسة</w:t>
      </w:r>
      <w:proofErr w:type="gramEnd"/>
      <w:r w:rsidRPr="008C0FB5">
        <w:rPr>
          <w:rtl/>
        </w:rPr>
        <w:t xml:space="preserve"> وعمادة وأساتذة وإداريين</w:t>
      </w:r>
      <w:r w:rsidR="00E44FCC" w:rsidRPr="008C0FB5">
        <w:rPr>
          <w:rtl/>
        </w:rPr>
        <w:t>.</w:t>
      </w:r>
      <w:r w:rsidR="00990BBF" w:rsidRPr="008C0FB5">
        <w:rPr>
          <w:rtl/>
        </w:rPr>
        <w:t xml:space="preserve"> </w:t>
      </w:r>
      <w:r w:rsidR="002D4B52" w:rsidRPr="008C0FB5">
        <w:rPr>
          <w:rtl/>
        </w:rPr>
        <w:t xml:space="preserve">كما أقدم </w:t>
      </w:r>
      <w:r w:rsidRPr="008C0FB5">
        <w:rPr>
          <w:rtl/>
        </w:rPr>
        <w:t>شكر</w:t>
      </w:r>
      <w:r w:rsidR="004F3FE2" w:rsidRPr="008C0FB5">
        <w:rPr>
          <w:rtl/>
        </w:rPr>
        <w:t>ي</w:t>
      </w:r>
      <w:r w:rsidRPr="008C0FB5">
        <w:rPr>
          <w:rtl/>
        </w:rPr>
        <w:t xml:space="preserve"> الجزيل لأفراد عائلتي جميعاً على تشجيعهم و</w:t>
      </w:r>
      <w:r w:rsidR="006673A7" w:rsidRPr="008C0FB5">
        <w:rPr>
          <w:rtl/>
        </w:rPr>
        <w:t>مساعدتهم لي حتى أتممت</w:t>
      </w:r>
      <w:r w:rsidR="005D60A2" w:rsidRPr="008C0FB5">
        <w:rPr>
          <w:rtl/>
        </w:rPr>
        <w:t xml:space="preserve"> </w:t>
      </w:r>
      <w:r w:rsidR="006673A7" w:rsidRPr="008C0FB5">
        <w:rPr>
          <w:rtl/>
        </w:rPr>
        <w:t>بحثي</w:t>
      </w:r>
      <w:r w:rsidR="00E44FCC" w:rsidRPr="008C0FB5">
        <w:rPr>
          <w:rtl/>
        </w:rPr>
        <w:t xml:space="preserve">. </w:t>
      </w:r>
    </w:p>
    <w:p w14:paraId="2CBC319B" w14:textId="77777777" w:rsidR="0060336D" w:rsidRPr="008C0FB5" w:rsidRDefault="0060336D" w:rsidP="00155784">
      <w:pPr>
        <w:pStyle w:val="35"/>
        <w:rPr>
          <w:rtl/>
        </w:rPr>
      </w:pPr>
    </w:p>
    <w:p w14:paraId="4AC7BF21" w14:textId="77777777" w:rsidR="00F2707D" w:rsidRPr="008C0FB5" w:rsidRDefault="00F2707D" w:rsidP="00155784">
      <w:pPr>
        <w:pStyle w:val="35"/>
        <w:rPr>
          <w:rFonts w:hint="cs"/>
          <w:rtl/>
        </w:rPr>
      </w:pPr>
    </w:p>
    <w:p w14:paraId="6BFC3B30" w14:textId="77777777" w:rsidR="00AA00E3" w:rsidRPr="008C0FB5" w:rsidRDefault="00AA00E3" w:rsidP="00D929C6">
      <w:pPr>
        <w:pStyle w:val="affffff7"/>
        <w:rPr>
          <w:color w:val="auto"/>
          <w:rtl/>
          <w:lang w:bidi="ar-IQ"/>
        </w:rPr>
        <w:sectPr w:rsidR="00AA00E3" w:rsidRPr="008C0FB5" w:rsidSect="00007798">
          <w:footnotePr>
            <w:numRestart w:val="eachPage"/>
          </w:footnotePr>
          <w:pgSz w:w="11906" w:h="16838" w:code="9"/>
          <w:pgMar w:top="1701" w:right="1701" w:bottom="1701" w:left="1418" w:header="1418" w:footer="1418" w:gutter="0"/>
          <w:cols w:space="708"/>
          <w:titlePg/>
          <w:bidi/>
          <w:rtlGutter/>
          <w:docGrid w:linePitch="360"/>
        </w:sectPr>
      </w:pPr>
    </w:p>
    <w:p w14:paraId="46779759" w14:textId="77777777" w:rsidR="00F63793" w:rsidRDefault="00F63793" w:rsidP="00F63793">
      <w:pPr>
        <w:pStyle w:val="48"/>
        <w:rPr>
          <w:rFonts w:hint="cs"/>
          <w:rtl/>
        </w:rPr>
      </w:pPr>
      <w:bookmarkStart w:id="6" w:name="_Toc8634635"/>
      <w:bookmarkStart w:id="7" w:name="_Toc8643618"/>
    </w:p>
    <w:p w14:paraId="74F6155C" w14:textId="77777777" w:rsidR="00F63793" w:rsidRDefault="00F63793" w:rsidP="00F63793">
      <w:pPr>
        <w:pStyle w:val="48"/>
        <w:rPr>
          <w:rFonts w:hint="cs"/>
          <w:rtl/>
        </w:rPr>
      </w:pPr>
    </w:p>
    <w:p w14:paraId="1F9E5712" w14:textId="77777777" w:rsidR="00F63793" w:rsidRDefault="00F63793" w:rsidP="00F63793">
      <w:pPr>
        <w:pStyle w:val="48"/>
        <w:rPr>
          <w:rFonts w:hint="cs"/>
          <w:rtl/>
        </w:rPr>
      </w:pPr>
    </w:p>
    <w:p w14:paraId="187F0FB4" w14:textId="77777777" w:rsidR="00F63793" w:rsidRDefault="00F63793" w:rsidP="00F63793">
      <w:pPr>
        <w:pStyle w:val="48"/>
        <w:rPr>
          <w:rFonts w:hint="cs"/>
          <w:rtl/>
        </w:rPr>
      </w:pPr>
    </w:p>
    <w:p w14:paraId="5D8A2EC7" w14:textId="77777777" w:rsidR="00A80AAA" w:rsidRPr="008C0FB5" w:rsidRDefault="00E57D0D" w:rsidP="0094067A">
      <w:pPr>
        <w:pStyle w:val="affffff7"/>
        <w:jc w:val="left"/>
        <w:rPr>
          <w:color w:val="auto"/>
          <w:sz w:val="30"/>
          <w:szCs w:val="30"/>
          <w:rtl/>
          <w:lang w:bidi="ar-IQ"/>
        </w:rPr>
      </w:pPr>
      <w:r w:rsidRPr="008C0FB5">
        <w:rPr>
          <w:color w:val="auto"/>
          <w:sz w:val="30"/>
          <w:szCs w:val="30"/>
          <w:rtl/>
          <w:lang w:bidi="ar-IQ"/>
        </w:rPr>
        <w:t>خلاصة الاطروحة</w:t>
      </w:r>
      <w:bookmarkEnd w:id="6"/>
      <w:bookmarkEnd w:id="7"/>
    </w:p>
    <w:p w14:paraId="19315F96" w14:textId="77777777" w:rsidR="00AA00E3" w:rsidRPr="008C0FB5" w:rsidRDefault="00AA00E3" w:rsidP="00AA00E3">
      <w:pPr>
        <w:pStyle w:val="48"/>
      </w:pPr>
      <w:r w:rsidRPr="008C0FB5">
        <w:rPr>
          <w:rFonts w:hint="cs"/>
          <w:rtl/>
        </w:rPr>
        <w:t>يرجع إدخال الغرض الشخصي للمتعاقد أو المنفعة التي يستهدفها من وراء التعاقد في فكرة السبب، إلى ما له من فاعلية واضحة في حماية المجتمع من العقود المخالفة للنظام العام. فإذا كانت فكرة الغرض الموضوعي المجرد تكفي لحماية المتعاقد بإحلاله من التزامه كلما تخلف الغرض الذي يبتغيه من وراء هذا الالتزام فان هذه الفكرة لا تتجاوز كثيراً ما تحققه فكرة مشروعية المحل فيما يتعلق بحماية المجتمع من الاتفاقات المخالفة للنظام العام.</w:t>
      </w:r>
    </w:p>
    <w:p w14:paraId="162CC86C" w14:textId="77777777" w:rsidR="00AA00E3" w:rsidRPr="008C0FB5" w:rsidRDefault="00AA00E3" w:rsidP="00AA00E3">
      <w:pPr>
        <w:pStyle w:val="35"/>
        <w:rPr>
          <w:rFonts w:hint="cs"/>
          <w:rtl/>
          <w:lang w:eastAsia="ar-SA"/>
        </w:rPr>
      </w:pPr>
      <w:r w:rsidRPr="008C0FB5">
        <w:rPr>
          <w:rFonts w:hint="cs"/>
          <w:rtl/>
          <w:lang w:eastAsia="ar-SA"/>
        </w:rPr>
        <w:t>وللمكانه الخاصة التي احتلتها نظرية السبب الباعث في التصرف القانوني، ذلك لأن مقتضى هذا السبب أن لا يقف القاضي عند مجرد توافر شروط التصرف وأركانه، من الوجهة الفنية، بل يترتب عليه تحري البواعث والدوافع التي دفعت صاحب التصرف، إذ لا يكفي أن يتوافر الإيجاب والقبول متطابقين، وان تكون أهلية المتعاقدين تامة، ومحلية العقد قابلة لحكمه، لكي يحكم القاضي بصحة التصرف، ذلك لأن العاقدين قد يستخدمان الوسائل الفنية المشروعة للوصول إلى غايات غير مشروعة وعندئذ يتعين على المشرع أن لا يقرهما على ذلك، وعلى القاضي أن يتعقب تلك الغايات غير المشروعة التي يرميان إليها، يقوده في ذلك معيار النظام العام والآداب العامة في التشريع الذي بين يديه.</w:t>
      </w:r>
    </w:p>
    <w:p w14:paraId="4F11A349" w14:textId="77777777" w:rsidR="00AA00E3" w:rsidRPr="008C0FB5" w:rsidRDefault="00AA00E3" w:rsidP="00AA00E3">
      <w:pPr>
        <w:pStyle w:val="35"/>
        <w:rPr>
          <w:rFonts w:hint="cs"/>
          <w:rtl/>
          <w:lang w:eastAsia="ar-SA"/>
        </w:rPr>
      </w:pPr>
      <w:r w:rsidRPr="008C0FB5">
        <w:rPr>
          <w:rFonts w:hint="cs"/>
          <w:rtl/>
          <w:lang w:eastAsia="ar-SA"/>
        </w:rPr>
        <w:t>ففي المجتمع الإسلامي حيث يقضي الشارع بتحريم الغناء، والنواح، والخمر، والدم، والميتة، والخنزير، والأصنام، والزنى، والتلهي، وصنع الصلبان، يبطل القاضي كل عقد ينصب على إحدى هذه المحرمات، لأن هذه العقود تعتبر متعارضة مع النظام العام الإسلامي، وعلى القاضي قبل أن يقرر بطلان العقد، أن يبحث أولاً في بنية العقد من الناحية الفنية، فإذا ما تأكد من سلامتها بأن توافرت فيها الوسائل الفنية الموضوعية، انتقل بعد ذلك إلى منطقة الباعث على التعاقد، وبحث عما إذا كان ثمة بواعث دافعة غير مشروعة تمس مصلحة المجتمع وآدابه. وهذه البواعث تسمى (السبب المصلحي) لأن مصلحة المجتمع تحمى عن طريق توافرها مشروعة في التصرف القانوني. وعلى هذا فإذا ما تناول عقد الإيجار مثلاً استئجار فتاة للخدمة كان العقد صحيحاً من الناحية الفنية والمصلحية، لأن العقد قد توافرت فيه شروطه وأركانه ولم يهدف إلى ما يخل في مصلحة المجتمع.</w:t>
      </w:r>
    </w:p>
    <w:p w14:paraId="72B20F5E" w14:textId="77777777" w:rsidR="00AA00E3" w:rsidRPr="008C0FB5" w:rsidRDefault="00AA00E3" w:rsidP="00AA00E3">
      <w:pPr>
        <w:pStyle w:val="35"/>
        <w:rPr>
          <w:rFonts w:hint="cs"/>
          <w:rtl/>
          <w:lang w:eastAsia="ar-SA"/>
        </w:rPr>
      </w:pPr>
      <w:r w:rsidRPr="008C0FB5">
        <w:rPr>
          <w:rFonts w:hint="cs"/>
          <w:rtl/>
          <w:lang w:eastAsia="ar-SA"/>
        </w:rPr>
        <w:t xml:space="preserve">أما إذا كان الدافع على الإيجار استخدام الفتاة للزنى بها، أو الاستمتاع بغنائها، أو </w:t>
      </w:r>
      <w:proofErr w:type="gramStart"/>
      <w:r w:rsidRPr="008C0FB5">
        <w:rPr>
          <w:rFonts w:hint="cs"/>
          <w:rtl/>
          <w:lang w:eastAsia="ar-SA"/>
        </w:rPr>
        <w:t xml:space="preserve">تسخيرها للندب </w:t>
      </w:r>
      <w:proofErr w:type="gramEnd"/>
      <w:r w:rsidRPr="008C0FB5">
        <w:rPr>
          <w:rFonts w:hint="cs"/>
          <w:rtl/>
          <w:lang w:eastAsia="ar-SA"/>
        </w:rPr>
        <w:t>أو النواح، أو بيع الخمر، أو لنحت الأصنام، أو زخرفة البيت بالتماثيل، أو لرعي الخنازير، أو لصنع الصلبان... كان العقد باطلاً، لان السبب المصلحي فيه لم يتوفر مشروعاً، وإنما توفر فيه غير مشروع فينتهي إلى هدم العقد الذي تلوث بعدم المشروعية.</w:t>
      </w:r>
    </w:p>
    <w:p w14:paraId="34047FE9" w14:textId="77777777" w:rsidR="00AA00E3" w:rsidRPr="008C0FB5" w:rsidRDefault="00AA00E3" w:rsidP="00AA00E3">
      <w:pPr>
        <w:pStyle w:val="35"/>
        <w:rPr>
          <w:rFonts w:hint="cs"/>
          <w:rtl/>
          <w:lang w:eastAsia="ar-SA"/>
        </w:rPr>
      </w:pPr>
      <w:r w:rsidRPr="008C0FB5">
        <w:rPr>
          <w:rFonts w:hint="cs"/>
          <w:rtl/>
          <w:lang w:eastAsia="ar-SA"/>
        </w:rPr>
        <w:t xml:space="preserve">ولغرض الإحاطة بالموضوع فقد بحثناه في اربعة فصول </w:t>
      </w:r>
      <w:proofErr w:type="gramStart"/>
      <w:r w:rsidRPr="008C0FB5">
        <w:rPr>
          <w:rFonts w:hint="cs"/>
          <w:rtl/>
          <w:lang w:eastAsia="ar-SA"/>
        </w:rPr>
        <w:t>الفصلين  خصصنا</w:t>
      </w:r>
      <w:proofErr w:type="gramEnd"/>
      <w:r w:rsidRPr="008C0FB5">
        <w:rPr>
          <w:rFonts w:hint="cs"/>
          <w:rtl/>
          <w:lang w:eastAsia="ar-SA"/>
        </w:rPr>
        <w:t xml:space="preserve"> الاول للتعريف بنظرية الباعث وتناولنا في الثاني لبيان احكامها وافردنا  الثالث لبحث الفقه الإسلامي أما الفصل </w:t>
      </w:r>
      <w:r w:rsidRPr="008C0FB5">
        <w:rPr>
          <w:rFonts w:hint="cs"/>
          <w:rtl/>
          <w:lang w:eastAsia="ar-SA"/>
        </w:rPr>
        <w:lastRenderedPageBreak/>
        <w:t>الرابع فقد بحثنا فيه موقف القوانين المدنية الوضعية مستندين في ذلك إلى آراء فقهاء القانون وأحكام القضاء فيها.</w:t>
      </w:r>
    </w:p>
    <w:p w14:paraId="2BABE3BD" w14:textId="77777777" w:rsidR="00A80AAA" w:rsidRPr="008C0FB5" w:rsidRDefault="00AA00E3" w:rsidP="00AA00E3">
      <w:pPr>
        <w:pStyle w:val="35"/>
        <w:rPr>
          <w:lang w:eastAsia="ar-SA"/>
        </w:rPr>
      </w:pPr>
      <w:r w:rsidRPr="008C0FB5">
        <w:rPr>
          <w:rFonts w:hint="cs"/>
          <w:rtl/>
          <w:lang w:eastAsia="ar-SA"/>
        </w:rPr>
        <w:t>الكلمات الافتتاحية: الباعث، التعاقد، نظرية، الاعتبار، السبب، الذاتية، الموضوعية</w:t>
      </w:r>
      <w:r w:rsidR="00E44FCC" w:rsidRPr="008C0FB5">
        <w:rPr>
          <w:rtl/>
          <w:lang w:eastAsia="ar-SA"/>
        </w:rPr>
        <w:t xml:space="preserve">. </w:t>
      </w:r>
    </w:p>
    <w:p w14:paraId="7C4C982F" w14:textId="77777777" w:rsidR="00540021" w:rsidRPr="008C0FB5" w:rsidRDefault="00A80AAA" w:rsidP="00D929C6">
      <w:pPr>
        <w:pStyle w:val="affffff6"/>
        <w:tabs>
          <w:tab w:val="left" w:pos="3147"/>
          <w:tab w:val="center" w:pos="4393"/>
        </w:tabs>
        <w:jc w:val="left"/>
        <w:rPr>
          <w:rFonts w:cs="Lotus Linotype"/>
          <w:color w:val="auto"/>
          <w:sz w:val="32"/>
          <w:szCs w:val="32"/>
          <w:rtl/>
          <w:lang w:bidi="ar-IQ"/>
        </w:rPr>
      </w:pPr>
      <w:r w:rsidRPr="008C0FB5">
        <w:rPr>
          <w:rFonts w:cs="Lotus Linotype"/>
          <w:color w:val="auto"/>
          <w:sz w:val="32"/>
          <w:szCs w:val="32"/>
          <w:rtl/>
          <w:lang w:bidi="ar-IQ"/>
        </w:rPr>
        <w:br w:type="page"/>
      </w:r>
      <w:r w:rsidR="004678B1" w:rsidRPr="008C0FB5">
        <w:rPr>
          <w:rFonts w:cs="Lotus Linotype"/>
          <w:color w:val="auto"/>
          <w:sz w:val="32"/>
          <w:szCs w:val="32"/>
          <w:rtl/>
          <w:lang w:bidi="ar-IQ"/>
        </w:rPr>
        <w:lastRenderedPageBreak/>
        <w:tab/>
      </w:r>
    </w:p>
    <w:p w14:paraId="21772AB4" w14:textId="0F51BAFC" w:rsidR="00540021" w:rsidRPr="008C0FB5" w:rsidRDefault="007C3C34" w:rsidP="00D929C6">
      <w:pPr>
        <w:pStyle w:val="affffff6"/>
        <w:tabs>
          <w:tab w:val="left" w:pos="3147"/>
          <w:tab w:val="center" w:pos="4393"/>
        </w:tabs>
        <w:jc w:val="left"/>
        <w:rPr>
          <w:rFonts w:cs="Lotus Linotype"/>
          <w:color w:val="auto"/>
          <w:sz w:val="32"/>
          <w:szCs w:val="32"/>
          <w:rtl/>
          <w:lang w:bidi="ar-IQ"/>
        </w:rPr>
      </w:pPr>
      <w:r w:rsidRPr="008C0FB5">
        <w:rPr>
          <w:color w:val="auto"/>
          <w:rtl/>
          <w:lang w:bidi="ar-SA"/>
        </w:rPr>
        <mc:AlternateContent>
          <mc:Choice Requires="wps">
            <w:drawing>
              <wp:anchor distT="0" distB="0" distL="114300" distR="114300" simplePos="0" relativeHeight="251651584" behindDoc="0" locked="0" layoutInCell="1" allowOverlap="1" wp14:anchorId="029C6A33" wp14:editId="120CC798">
                <wp:simplePos x="0" y="0"/>
                <wp:positionH relativeFrom="column">
                  <wp:posOffset>31750</wp:posOffset>
                </wp:positionH>
                <wp:positionV relativeFrom="paragraph">
                  <wp:posOffset>-1501775</wp:posOffset>
                </wp:positionV>
                <wp:extent cx="5956935" cy="701675"/>
                <wp:effectExtent l="0" t="0" r="0" b="4445"/>
                <wp:wrapNone/>
                <wp:docPr id="1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BA390" w14:textId="77777777" w:rsidR="008C0FB5" w:rsidRDefault="008C0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C6A33" id="_x0000_t202" coordsize="21600,21600" o:spt="202" path="m,l,21600r21600,l21600,xe">
                <v:stroke joinstyle="miter"/>
                <v:path gradientshapeok="t" o:connecttype="rect"/>
              </v:shapetype>
              <v:shape id="Text Box 132" o:spid="_x0000_s1029" type="#_x0000_t202" style="position:absolute;left:0;text-align:left;margin-left:2.5pt;margin-top:-118.25pt;width:469.05pt;height:5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" stroked="f">
                <v:textbox>
                  <w:txbxContent>
                    <w:p w14:paraId="060BA390" w14:textId="77777777" w:rsidR="008C0FB5" w:rsidRDefault="008C0FB5"/>
                  </w:txbxContent>
                </v:textbox>
              </v:shape>
            </w:pict>
          </mc:Fallback>
        </mc:AlternateContent>
      </w:r>
    </w:p>
    <w:p w14:paraId="73ADF6F5" w14:textId="77777777" w:rsidR="004678B1" w:rsidRPr="008C0FB5" w:rsidRDefault="004678B1" w:rsidP="00481D39">
      <w:pPr>
        <w:pStyle w:val="20"/>
        <w:rPr>
          <w:rFonts w:ascii="Lotus Linotype" w:hAnsi="Lotus Linotype" w:cs="Lotus Linotype"/>
          <w:rtl/>
        </w:rPr>
      </w:pPr>
      <w:bookmarkStart w:id="8" w:name="_Toc528022547"/>
      <w:bookmarkStart w:id="9" w:name="_Toc8634636"/>
      <w:bookmarkStart w:id="10" w:name="_Toc8643619"/>
      <w:r w:rsidRPr="008C0FB5">
        <w:rPr>
          <w:rtl/>
        </w:rPr>
        <w:t>المحتويات</w:t>
      </w:r>
      <w:bookmarkEnd w:id="8"/>
      <w:bookmarkEnd w:id="9"/>
      <w:bookmarkEnd w:id="10"/>
    </w:p>
    <w:p w14:paraId="73E7FE5A" w14:textId="77777777" w:rsidR="004678B1" w:rsidRPr="008C0FB5" w:rsidRDefault="004678B1" w:rsidP="00D929C6">
      <w:pPr>
        <w:pStyle w:val="61"/>
        <w:tabs>
          <w:tab w:val="right" w:leader="dot" w:pos="8777"/>
        </w:tabs>
        <w:rPr>
          <w:rFonts w:ascii="Lotus Linotype" w:eastAsia="Times New Roman" w:hAnsi="Lotus Linotype" w:cs="Lotus Linotype"/>
          <w:rtl/>
          <w:lang w:bidi="ar-IQ"/>
        </w:rPr>
      </w:pPr>
    </w:p>
    <w:p w14:paraId="2615AB86" w14:textId="77777777" w:rsidR="008C0FB5" w:rsidRPr="00241ACF" w:rsidRDefault="00683ED4" w:rsidP="008C0FB5">
      <w:pPr>
        <w:pStyle w:val="11"/>
        <w:rPr>
          <w:rFonts w:ascii="Calibri" w:eastAsia="Times New Roman" w:hAnsi="Calibri" w:cs="Arial"/>
          <w:b w:val="0"/>
          <w:bCs w:val="0"/>
          <w:caps w:val="0"/>
          <w:sz w:val="22"/>
          <w:szCs w:val="22"/>
          <w:rtl/>
          <w:lang w:bidi="ar-SA"/>
        </w:rPr>
      </w:pPr>
      <w:r w:rsidRPr="008C0FB5">
        <w:rPr>
          <w:rtl/>
        </w:rPr>
        <w:fldChar w:fldCharType="begin"/>
      </w:r>
      <w:r w:rsidRPr="008C0FB5">
        <w:rPr>
          <w:rtl/>
        </w:rPr>
        <w:instrText xml:space="preserve"> </w:instrText>
      </w:r>
      <w:r w:rsidRPr="008C0FB5">
        <w:instrText>TOC</w:instrText>
      </w:r>
      <w:r w:rsidRPr="008C0FB5">
        <w:rPr>
          <w:rtl/>
        </w:rPr>
        <w:instrText xml:space="preserve"> \</w:instrText>
      </w:r>
      <w:r w:rsidRPr="008C0FB5">
        <w:instrText>h \z \t "Heading 1;1;Heading 2;1;Heading 3;3;Heading 4;4;Heading 5;5</w:instrText>
      </w:r>
      <w:r w:rsidRPr="008C0FB5">
        <w:rPr>
          <w:rtl/>
        </w:rPr>
        <w:instrText>;المبحث;2;المطلب;3;الفرع;4;تیتر اصلی;1;</w:instrText>
      </w:r>
      <w:r w:rsidRPr="008C0FB5">
        <w:instrText>heading;1</w:instrText>
      </w:r>
      <w:r w:rsidRPr="008C0FB5">
        <w:rPr>
          <w:rtl/>
        </w:rPr>
        <w:instrText xml:space="preserve">;عنوان اصلی (تیتر2);2;عنوان فرعی (تیتر3);3;تيتر1;1;عنوان الفصل;1;فرع1;4" </w:instrText>
      </w:r>
      <w:r w:rsidRPr="008C0FB5">
        <w:rPr>
          <w:rtl/>
        </w:rPr>
        <w:fldChar w:fldCharType="separate"/>
      </w:r>
    </w:p>
    <w:p w14:paraId="2861EBA7" w14:textId="77777777" w:rsidR="008C0FB5" w:rsidRPr="00241ACF" w:rsidRDefault="008C0FB5" w:rsidP="003827C6">
      <w:pPr>
        <w:pStyle w:val="11"/>
        <w:spacing w:before="0" w:after="0" w:line="240" w:lineRule="auto"/>
        <w:rPr>
          <w:rFonts w:eastAsia="Times New Roman"/>
          <w:b w:val="0"/>
          <w:bCs w:val="0"/>
          <w:caps w:val="0"/>
          <w:sz w:val="22"/>
          <w:szCs w:val="22"/>
          <w:rtl/>
          <w:lang w:bidi="ar-SA"/>
        </w:rPr>
      </w:pPr>
      <w:hyperlink w:anchor="_Toc8643621" w:history="1">
        <w:r w:rsidRPr="003827C6">
          <w:rPr>
            <w:rStyle w:val="Hyperlink"/>
            <w:rtl/>
          </w:rPr>
          <w:t>المقدمة</w:t>
        </w:r>
        <w:r w:rsidRPr="003827C6">
          <w:rPr>
            <w:webHidden/>
            <w:rtl/>
          </w:rPr>
          <w:tab/>
          <w:t>1</w:t>
        </w:r>
      </w:hyperlink>
    </w:p>
    <w:p w14:paraId="4F9A3371" w14:textId="77777777" w:rsidR="008C0FB5" w:rsidRPr="00241ACF" w:rsidRDefault="008C0FB5" w:rsidP="003827C6">
      <w:pPr>
        <w:pStyle w:val="11"/>
        <w:spacing w:before="0" w:after="0" w:line="240" w:lineRule="auto"/>
        <w:rPr>
          <w:rFonts w:eastAsia="Times New Roman"/>
          <w:b w:val="0"/>
          <w:bCs w:val="0"/>
          <w:caps w:val="0"/>
          <w:sz w:val="22"/>
          <w:szCs w:val="22"/>
          <w:rtl/>
          <w:lang w:bidi="ar-SA"/>
        </w:rPr>
      </w:pPr>
      <w:hyperlink w:anchor="_Toc8643622" w:history="1">
        <w:r w:rsidRPr="003827C6">
          <w:rPr>
            <w:rStyle w:val="Hyperlink"/>
            <w:rtl/>
          </w:rPr>
          <w:t>الفصل الأول</w:t>
        </w:r>
        <w:r w:rsidR="003827C6" w:rsidRPr="003827C6">
          <w:rPr>
            <w:rFonts w:hint="cs"/>
            <w:webHidden/>
            <w:rtl/>
          </w:rPr>
          <w:t>:</w:t>
        </w:r>
      </w:hyperlink>
      <w:r w:rsidR="003827C6" w:rsidRPr="003827C6">
        <w:rPr>
          <w:rStyle w:val="Hyperlink"/>
          <w:rFonts w:hint="cs"/>
          <w:rtl/>
        </w:rPr>
        <w:t xml:space="preserve"> </w:t>
      </w:r>
      <w:hyperlink w:anchor="_Toc8643623" w:history="1">
        <w:r w:rsidRPr="003827C6">
          <w:rPr>
            <w:rStyle w:val="Hyperlink"/>
            <w:rtl/>
          </w:rPr>
          <w:t>التعريف بنظرية الباعث وصلتها بغيرها من النظريات</w:t>
        </w:r>
        <w:r w:rsidR="003827C6" w:rsidRPr="003827C6">
          <w:rPr>
            <w:rFonts w:hint="cs"/>
            <w:webHidden/>
            <w:rtl/>
          </w:rPr>
          <w:t>/</w:t>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Toc8643623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5</w:t>
        </w:r>
        <w:r w:rsidRPr="003827C6">
          <w:rPr>
            <w:webHidden/>
            <w:rtl/>
          </w:rPr>
          <w:fldChar w:fldCharType="end"/>
        </w:r>
      </w:hyperlink>
    </w:p>
    <w:p w14:paraId="69B464B8"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24" w:history="1">
        <w:r w:rsidR="003827C6" w:rsidRPr="003827C6">
          <w:rPr>
            <w:rStyle w:val="Hyperlink"/>
            <w:rFonts w:hint="cs"/>
            <w:rtl/>
          </w:rPr>
          <w:t>1-1-</w:t>
        </w:r>
        <w:r w:rsidRPr="003827C6">
          <w:rPr>
            <w:rStyle w:val="Hyperlink"/>
            <w:rtl/>
          </w:rPr>
          <w:t xml:space="preserve"> المبحث الاول: ماهـية الباعث</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Toc8643624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9</w:t>
        </w:r>
        <w:r w:rsidRPr="003827C6">
          <w:rPr>
            <w:webHidden/>
            <w:rtl/>
          </w:rPr>
          <w:fldChar w:fldCharType="end"/>
        </w:r>
      </w:hyperlink>
    </w:p>
    <w:p w14:paraId="4888CB8C"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25" w:history="1">
        <w:r w:rsidR="003827C6" w:rsidRPr="003827C6">
          <w:rPr>
            <w:rStyle w:val="Hyperlink"/>
            <w:rFonts w:hint="cs"/>
            <w:i w:val="0"/>
            <w:iCs w:val="0"/>
            <w:rtl/>
          </w:rPr>
          <w:t>1-1-1-</w:t>
        </w:r>
        <w:r w:rsidRPr="003827C6">
          <w:rPr>
            <w:rStyle w:val="Hyperlink"/>
            <w:i w:val="0"/>
            <w:iCs w:val="0"/>
            <w:rtl/>
          </w:rPr>
          <w:t xml:space="preserve"> المطلب الاول: تعريف الباعث وبيان خصائصه</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Toc8643625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9</w:t>
        </w:r>
        <w:r w:rsidRPr="003827C6">
          <w:rPr>
            <w:i w:val="0"/>
            <w:iCs w:val="0"/>
            <w:webHidden/>
            <w:rtl/>
          </w:rPr>
          <w:fldChar w:fldCharType="end"/>
        </w:r>
      </w:hyperlink>
    </w:p>
    <w:p w14:paraId="42F5987E"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26" w:history="1">
        <w:r w:rsidRPr="003827C6">
          <w:rPr>
            <w:rStyle w:val="Hyperlink"/>
            <w:rFonts w:ascii="Lotus Linotype" w:hAnsi="Lotus Linotype" w:cs="Lotus Linotype"/>
            <w:rtl/>
          </w:rPr>
          <w:t>الفرع الاول: تعريف الباعث</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Toc8643626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9</w:t>
        </w:r>
        <w:r w:rsidRPr="003827C6">
          <w:rPr>
            <w:rFonts w:ascii="Lotus Linotype" w:hAnsi="Lotus Linotype" w:cs="Lotus Linotype"/>
            <w:webHidden/>
            <w:rtl/>
          </w:rPr>
          <w:fldChar w:fldCharType="end"/>
        </w:r>
      </w:hyperlink>
    </w:p>
    <w:p w14:paraId="62E8036C"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27" w:history="1">
        <w:r w:rsidRPr="003827C6">
          <w:rPr>
            <w:rStyle w:val="Hyperlink"/>
            <w:rFonts w:ascii="Lotus Linotype" w:hAnsi="Lotus Linotype" w:cs="Lotus Linotype"/>
            <w:rtl/>
          </w:rPr>
          <w:t>الفرع الثاني: خصائص الباعـث</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Toc8643627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11</w:t>
        </w:r>
        <w:r w:rsidRPr="003827C6">
          <w:rPr>
            <w:rFonts w:ascii="Lotus Linotype" w:hAnsi="Lotus Linotype" w:cs="Lotus Linotype"/>
            <w:webHidden/>
            <w:rtl/>
          </w:rPr>
          <w:fldChar w:fldCharType="end"/>
        </w:r>
      </w:hyperlink>
    </w:p>
    <w:p w14:paraId="79D8246B"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28" w:history="1">
        <w:r w:rsidRPr="003827C6">
          <w:rPr>
            <w:rStyle w:val="Hyperlink"/>
            <w:i w:val="0"/>
            <w:iCs w:val="0"/>
            <w:rtl/>
          </w:rPr>
          <w:t>1-1-2- المطلب الثاني: شروط الباعث</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Toc8643628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13</w:t>
        </w:r>
        <w:r w:rsidRPr="003827C6">
          <w:rPr>
            <w:i w:val="0"/>
            <w:iCs w:val="0"/>
            <w:webHidden/>
            <w:rtl/>
          </w:rPr>
          <w:fldChar w:fldCharType="end"/>
        </w:r>
      </w:hyperlink>
    </w:p>
    <w:p w14:paraId="73FA0312"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29" w:history="1">
        <w:r w:rsidRPr="003827C6">
          <w:rPr>
            <w:rStyle w:val="Hyperlink"/>
            <w:i w:val="0"/>
            <w:iCs w:val="0"/>
            <w:rtl/>
          </w:rPr>
          <w:t>1-1-3- المطلب الثالث: التمييز بين الباعث وما يشتبه به</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Toc8643629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17</w:t>
        </w:r>
        <w:r w:rsidRPr="003827C6">
          <w:rPr>
            <w:i w:val="0"/>
            <w:iCs w:val="0"/>
            <w:webHidden/>
            <w:rtl/>
          </w:rPr>
          <w:fldChar w:fldCharType="end"/>
        </w:r>
      </w:hyperlink>
    </w:p>
    <w:p w14:paraId="5954C073"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30" w:history="1">
        <w:r w:rsidRPr="003827C6">
          <w:rPr>
            <w:rStyle w:val="Hyperlink"/>
            <w:rFonts w:ascii="Lotus Linotype" w:hAnsi="Lotus Linotype" w:cs="Lotus Linotype"/>
            <w:rtl/>
          </w:rPr>
          <w:t>الفرع الأول: التمييز بين الباعث والمحل</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Toc8643630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17</w:t>
        </w:r>
        <w:r w:rsidRPr="003827C6">
          <w:rPr>
            <w:rFonts w:ascii="Lotus Linotype" w:hAnsi="Lotus Linotype" w:cs="Lotus Linotype"/>
            <w:webHidden/>
            <w:rtl/>
          </w:rPr>
          <w:fldChar w:fldCharType="end"/>
        </w:r>
      </w:hyperlink>
    </w:p>
    <w:p w14:paraId="2367DFCF"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31" w:history="1">
        <w:r w:rsidRPr="003827C6">
          <w:rPr>
            <w:rStyle w:val="Hyperlink"/>
            <w:rFonts w:ascii="Lotus Linotype" w:hAnsi="Lotus Linotype" w:cs="Lotus Linotype"/>
            <w:rtl/>
          </w:rPr>
          <w:t>الفرع الثاني: التمييز بين الباعث والسبب</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Toc8643631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18</w:t>
        </w:r>
        <w:r w:rsidRPr="003827C6">
          <w:rPr>
            <w:rFonts w:ascii="Lotus Linotype" w:hAnsi="Lotus Linotype" w:cs="Lotus Linotype"/>
            <w:webHidden/>
            <w:rtl/>
          </w:rPr>
          <w:fldChar w:fldCharType="end"/>
        </w:r>
      </w:hyperlink>
    </w:p>
    <w:p w14:paraId="6301CE7B"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32" w:history="1">
        <w:r w:rsidRPr="003827C6">
          <w:rPr>
            <w:rStyle w:val="Hyperlink"/>
            <w:i w:val="0"/>
            <w:iCs w:val="0"/>
            <w:rtl/>
          </w:rPr>
          <w:t>1-1-4- المطلب الرابع: الفائدة العملية للباعث في العقود</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Toc8643632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22</w:t>
        </w:r>
        <w:r w:rsidRPr="003827C6">
          <w:rPr>
            <w:i w:val="0"/>
            <w:iCs w:val="0"/>
            <w:webHidden/>
            <w:rtl/>
          </w:rPr>
          <w:fldChar w:fldCharType="end"/>
        </w:r>
      </w:hyperlink>
    </w:p>
    <w:p w14:paraId="575B2D0F"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33" w:history="1">
        <w:r w:rsidR="003827C6" w:rsidRPr="003827C6">
          <w:rPr>
            <w:rStyle w:val="Hyperlink"/>
            <w:rFonts w:hint="cs"/>
            <w:i w:val="0"/>
            <w:iCs w:val="0"/>
            <w:rtl/>
          </w:rPr>
          <w:t xml:space="preserve">1-1-5- </w:t>
        </w:r>
        <w:r w:rsidRPr="003827C6">
          <w:rPr>
            <w:rStyle w:val="Hyperlink"/>
            <w:i w:val="0"/>
            <w:iCs w:val="0"/>
            <w:rtl/>
          </w:rPr>
          <w:t xml:space="preserve"> المطلب الخامس: دور الإرادة في إنشاء العقود</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Toc8643633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22</w:t>
        </w:r>
        <w:r w:rsidRPr="003827C6">
          <w:rPr>
            <w:i w:val="0"/>
            <w:iCs w:val="0"/>
            <w:webHidden/>
            <w:rtl/>
          </w:rPr>
          <w:fldChar w:fldCharType="end"/>
        </w:r>
      </w:hyperlink>
    </w:p>
    <w:p w14:paraId="5FDC7343"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34" w:history="1">
        <w:r w:rsidRPr="003827C6">
          <w:rPr>
            <w:rStyle w:val="Hyperlink"/>
            <w:rFonts w:ascii="Lotus Linotype" w:hAnsi="Lotus Linotype" w:cs="Lotus Linotype"/>
            <w:rtl/>
          </w:rPr>
          <w:t>الفرع الاول: دور الإرادة في إنشاء العقود في الفقه الإسلامي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Toc8643634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23</w:t>
        </w:r>
        <w:r w:rsidRPr="003827C6">
          <w:rPr>
            <w:rFonts w:ascii="Lotus Linotype" w:hAnsi="Lotus Linotype" w:cs="Lotus Linotype"/>
            <w:webHidden/>
            <w:rtl/>
          </w:rPr>
          <w:fldChar w:fldCharType="end"/>
        </w:r>
      </w:hyperlink>
    </w:p>
    <w:p w14:paraId="273EB0E0"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35" w:history="1">
        <w:r w:rsidRPr="003827C6">
          <w:rPr>
            <w:rStyle w:val="Hyperlink"/>
            <w:rFonts w:ascii="Lotus Linotype" w:hAnsi="Lotus Linotype" w:cs="Lotus Linotype"/>
            <w:rtl/>
          </w:rPr>
          <w:t>الفرع الثاني: دور الإرادة في إنشاء العقود في القانون</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Toc8643635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26</w:t>
        </w:r>
        <w:r w:rsidRPr="003827C6">
          <w:rPr>
            <w:rFonts w:ascii="Lotus Linotype" w:hAnsi="Lotus Linotype" w:cs="Lotus Linotype"/>
            <w:webHidden/>
            <w:rtl/>
          </w:rPr>
          <w:fldChar w:fldCharType="end"/>
        </w:r>
      </w:hyperlink>
    </w:p>
    <w:p w14:paraId="2B144B8E"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36" w:history="1">
        <w:r w:rsidR="003827C6" w:rsidRPr="003827C6">
          <w:rPr>
            <w:rStyle w:val="Hyperlink"/>
            <w:rFonts w:hint="cs"/>
            <w:i w:val="0"/>
            <w:iCs w:val="0"/>
            <w:rtl/>
          </w:rPr>
          <w:t>1-1-6-</w:t>
        </w:r>
        <w:r w:rsidRPr="003827C6">
          <w:rPr>
            <w:rStyle w:val="Hyperlink"/>
            <w:i w:val="0"/>
            <w:iCs w:val="0"/>
            <w:rtl/>
          </w:rPr>
          <w:t xml:space="preserve"> المطلب السادس: دور الباعث في تقييد الإرادة في إنشاء العقود</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Toc8643636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29</w:t>
        </w:r>
        <w:r w:rsidRPr="003827C6">
          <w:rPr>
            <w:i w:val="0"/>
            <w:iCs w:val="0"/>
            <w:webHidden/>
            <w:rtl/>
          </w:rPr>
          <w:fldChar w:fldCharType="end"/>
        </w:r>
      </w:hyperlink>
    </w:p>
    <w:p w14:paraId="44A359AE"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37" w:history="1">
        <w:r w:rsidRPr="003827C6">
          <w:rPr>
            <w:rStyle w:val="Hyperlink"/>
            <w:rFonts w:ascii="Lotus Linotype" w:hAnsi="Lotus Linotype" w:cs="Lotus Linotype"/>
            <w:rtl/>
          </w:rPr>
          <w:t>الفرع الاول: دور الباعث في تقييد الإرادة في إنشاء العقود في الفقه الإسلامي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Toc8643637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29</w:t>
        </w:r>
        <w:r w:rsidRPr="003827C6">
          <w:rPr>
            <w:rFonts w:ascii="Lotus Linotype" w:hAnsi="Lotus Linotype" w:cs="Lotus Linotype"/>
            <w:webHidden/>
            <w:rtl/>
          </w:rPr>
          <w:fldChar w:fldCharType="end"/>
        </w:r>
      </w:hyperlink>
    </w:p>
    <w:p w14:paraId="49B452E9"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38" w:history="1">
        <w:r w:rsidRPr="003827C6">
          <w:rPr>
            <w:rStyle w:val="Hyperlink"/>
            <w:rFonts w:ascii="Lotus Linotype" w:hAnsi="Lotus Linotype" w:cs="Lotus Linotype"/>
            <w:rtl/>
          </w:rPr>
          <w:t>الفرع الثاني: دور الباعث في تقييد الإرادة في إنشاء العقود في الفقه القانوني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Toc8643638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30</w:t>
        </w:r>
        <w:r w:rsidRPr="003827C6">
          <w:rPr>
            <w:rFonts w:ascii="Lotus Linotype" w:hAnsi="Lotus Linotype" w:cs="Lotus Linotype"/>
            <w:webHidden/>
            <w:rtl/>
          </w:rPr>
          <w:fldChar w:fldCharType="end"/>
        </w:r>
      </w:hyperlink>
    </w:p>
    <w:p w14:paraId="25DD814C"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39" w:history="1">
        <w:r w:rsidRPr="003827C6">
          <w:rPr>
            <w:rStyle w:val="Hyperlink"/>
            <w:rtl/>
          </w:rPr>
          <w:t xml:space="preserve">1-2- المبحث الرابع: نظرية الإرادة الظاهرة ونظرية الإرادة الباطنة </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Toc8643639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33</w:t>
        </w:r>
        <w:r w:rsidRPr="003827C6">
          <w:rPr>
            <w:webHidden/>
            <w:rtl/>
          </w:rPr>
          <w:fldChar w:fldCharType="end"/>
        </w:r>
      </w:hyperlink>
    </w:p>
    <w:p w14:paraId="3DB6137B"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40" w:history="1">
        <w:r w:rsidRPr="003827C6">
          <w:rPr>
            <w:rStyle w:val="Hyperlink"/>
            <w:i w:val="0"/>
            <w:iCs w:val="0"/>
            <w:rtl/>
          </w:rPr>
          <w:t>1-2-1- المطلب الأول: اتجاه الاعتداد بالتعبير عن الإرادة (الإرادة الظاهرة)</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Toc8643640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34</w:t>
        </w:r>
        <w:r w:rsidRPr="003827C6">
          <w:rPr>
            <w:i w:val="0"/>
            <w:iCs w:val="0"/>
            <w:webHidden/>
            <w:rtl/>
          </w:rPr>
          <w:fldChar w:fldCharType="end"/>
        </w:r>
      </w:hyperlink>
    </w:p>
    <w:p w14:paraId="0D162B7B"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41" w:history="1">
        <w:r w:rsidRPr="003827C6">
          <w:rPr>
            <w:rStyle w:val="Hyperlink"/>
            <w:i w:val="0"/>
            <w:iCs w:val="0"/>
            <w:rtl/>
          </w:rPr>
          <w:t>1-2-2- المطلب الثاني: اتجاه الاعتداد بالإرادة الباطنة</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Toc8643641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36</w:t>
        </w:r>
        <w:r w:rsidRPr="003827C6">
          <w:rPr>
            <w:i w:val="0"/>
            <w:iCs w:val="0"/>
            <w:webHidden/>
            <w:rtl/>
          </w:rPr>
          <w:fldChar w:fldCharType="end"/>
        </w:r>
      </w:hyperlink>
    </w:p>
    <w:p w14:paraId="268EC056"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42" w:history="1">
        <w:r w:rsidRPr="003827C6">
          <w:rPr>
            <w:rStyle w:val="Hyperlink"/>
            <w:i w:val="0"/>
            <w:iCs w:val="0"/>
            <w:rtl/>
          </w:rPr>
          <w:t>1-2-3- المطلب الثالث: اتجاه الاعتداد بالنظريتين معاً</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Toc8643642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38</w:t>
        </w:r>
        <w:r w:rsidRPr="003827C6">
          <w:rPr>
            <w:i w:val="0"/>
            <w:iCs w:val="0"/>
            <w:webHidden/>
            <w:rtl/>
          </w:rPr>
          <w:fldChar w:fldCharType="end"/>
        </w:r>
      </w:hyperlink>
    </w:p>
    <w:p w14:paraId="4D7574FD"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43" w:history="1">
        <w:r w:rsidRPr="003827C6">
          <w:rPr>
            <w:rStyle w:val="Hyperlink"/>
            <w:rtl/>
          </w:rPr>
          <w:t>1-3- المبحث الرابع: معيار الباعث وضابطه</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Toc8643643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40</w:t>
        </w:r>
        <w:r w:rsidRPr="003827C6">
          <w:rPr>
            <w:webHidden/>
            <w:rtl/>
          </w:rPr>
          <w:fldChar w:fldCharType="end"/>
        </w:r>
      </w:hyperlink>
    </w:p>
    <w:p w14:paraId="2E15EE45"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44" w:history="1">
        <w:r w:rsidRPr="003827C6">
          <w:rPr>
            <w:rStyle w:val="Hyperlink"/>
            <w:i w:val="0"/>
            <w:iCs w:val="0"/>
            <w:rtl/>
          </w:rPr>
          <w:t>1-3-1- المطلب الأول: معيار الباعث وضابطه في الفقه الإسلامي</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Toc8643644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40</w:t>
        </w:r>
        <w:r w:rsidRPr="003827C6">
          <w:rPr>
            <w:i w:val="0"/>
            <w:iCs w:val="0"/>
            <w:webHidden/>
            <w:rtl/>
          </w:rPr>
          <w:fldChar w:fldCharType="end"/>
        </w:r>
      </w:hyperlink>
    </w:p>
    <w:p w14:paraId="1A62972C"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45" w:history="1">
        <w:r w:rsidRPr="003827C6">
          <w:rPr>
            <w:rStyle w:val="Hyperlink"/>
            <w:i w:val="0"/>
            <w:iCs w:val="0"/>
            <w:rtl/>
          </w:rPr>
          <w:t>1-3-2- المطلب الثاني: معيار الباعث وضابطه في القانون الوضعي</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Toc8643645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43</w:t>
        </w:r>
        <w:r w:rsidRPr="003827C6">
          <w:rPr>
            <w:i w:val="0"/>
            <w:iCs w:val="0"/>
            <w:webHidden/>
            <w:rtl/>
          </w:rPr>
          <w:fldChar w:fldCharType="end"/>
        </w:r>
      </w:hyperlink>
    </w:p>
    <w:p w14:paraId="534E3F1C" w14:textId="77777777" w:rsidR="008C0FB5" w:rsidRPr="00241ACF" w:rsidRDefault="008C0FB5" w:rsidP="003827C6">
      <w:pPr>
        <w:pStyle w:val="11"/>
        <w:spacing w:before="0" w:after="0" w:line="240" w:lineRule="auto"/>
        <w:rPr>
          <w:rFonts w:eastAsia="Times New Roman"/>
          <w:b w:val="0"/>
          <w:bCs w:val="0"/>
          <w:caps w:val="0"/>
          <w:sz w:val="22"/>
          <w:szCs w:val="22"/>
          <w:rtl/>
          <w:lang w:bidi="ar-SA"/>
        </w:rPr>
      </w:pPr>
      <w:hyperlink w:anchor="_Toc8643646" w:history="1">
        <w:r w:rsidRPr="003827C6">
          <w:rPr>
            <w:rStyle w:val="Hyperlink"/>
            <w:rtl/>
          </w:rPr>
          <w:t>الفصل الثاني</w:t>
        </w:r>
        <w:r w:rsidR="003827C6" w:rsidRPr="003827C6">
          <w:rPr>
            <w:rFonts w:hint="cs"/>
            <w:webHidden/>
            <w:rtl/>
          </w:rPr>
          <w:t>:</w:t>
        </w:r>
      </w:hyperlink>
      <w:r w:rsidR="003827C6" w:rsidRPr="003827C6">
        <w:rPr>
          <w:rStyle w:val="Hyperlink"/>
          <w:rFonts w:hint="cs"/>
          <w:rtl/>
        </w:rPr>
        <w:t xml:space="preserve"> </w:t>
      </w:r>
      <w:hyperlink w:anchor="_Toc8643647" w:history="1">
        <w:r w:rsidRPr="003827C6">
          <w:rPr>
            <w:rStyle w:val="Hyperlink"/>
            <w:rtl/>
          </w:rPr>
          <w:t>أحكـام نظــــــرية الباعــــث</w:t>
        </w:r>
        <w:r w:rsidR="003827C6" w:rsidRPr="003827C6">
          <w:rPr>
            <w:rFonts w:hint="cs"/>
            <w:webHidden/>
            <w:rtl/>
          </w:rPr>
          <w:t>/</w:t>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Toc8643647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47</w:t>
        </w:r>
        <w:r w:rsidRPr="003827C6">
          <w:rPr>
            <w:webHidden/>
            <w:rtl/>
          </w:rPr>
          <w:fldChar w:fldCharType="end"/>
        </w:r>
      </w:hyperlink>
    </w:p>
    <w:p w14:paraId="7BD803FD"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48" w:history="1">
        <w:r w:rsidR="003827C6" w:rsidRPr="003827C6">
          <w:rPr>
            <w:rStyle w:val="Hyperlink"/>
            <w:rFonts w:hint="cs"/>
            <w:rtl/>
          </w:rPr>
          <w:t>2-1-</w:t>
        </w:r>
        <w:r w:rsidRPr="003827C6">
          <w:rPr>
            <w:rStyle w:val="Hyperlink"/>
            <w:rtl/>
          </w:rPr>
          <w:t xml:space="preserve"> المبحث الأول: اثبات الباعث وضابطه</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Toc8643648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49</w:t>
        </w:r>
        <w:r w:rsidRPr="003827C6">
          <w:rPr>
            <w:webHidden/>
            <w:rtl/>
          </w:rPr>
          <w:fldChar w:fldCharType="end"/>
        </w:r>
      </w:hyperlink>
    </w:p>
    <w:p w14:paraId="291DF38D"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49" w:history="1">
        <w:r w:rsidR="003827C6" w:rsidRPr="003827C6">
          <w:rPr>
            <w:rStyle w:val="Hyperlink"/>
            <w:rFonts w:hint="cs"/>
            <w:i w:val="0"/>
            <w:iCs w:val="0"/>
            <w:rtl/>
          </w:rPr>
          <w:t>2-1-1-</w:t>
        </w:r>
        <w:r w:rsidRPr="003827C6">
          <w:rPr>
            <w:rStyle w:val="Hyperlink"/>
            <w:i w:val="0"/>
            <w:iCs w:val="0"/>
            <w:rtl/>
          </w:rPr>
          <w:t xml:space="preserve"> المطلب الاول: حالة عدم ذكر الباعث في العقد</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Toc8643649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50</w:t>
        </w:r>
        <w:r w:rsidRPr="003827C6">
          <w:rPr>
            <w:i w:val="0"/>
            <w:iCs w:val="0"/>
            <w:webHidden/>
            <w:rtl/>
          </w:rPr>
          <w:fldChar w:fldCharType="end"/>
        </w:r>
      </w:hyperlink>
    </w:p>
    <w:p w14:paraId="7D153EC3"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50" w:history="1">
        <w:r w:rsidRPr="003827C6">
          <w:rPr>
            <w:rStyle w:val="Hyperlink"/>
            <w:i w:val="0"/>
            <w:iCs w:val="0"/>
            <w:rtl/>
          </w:rPr>
          <w:t>2-1-2- المطلب الثاني: إذا كان الباعث مذكور في العقد</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Toc8643650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51</w:t>
        </w:r>
        <w:r w:rsidRPr="003827C6">
          <w:rPr>
            <w:i w:val="0"/>
            <w:iCs w:val="0"/>
            <w:webHidden/>
            <w:rtl/>
          </w:rPr>
          <w:fldChar w:fldCharType="end"/>
        </w:r>
      </w:hyperlink>
    </w:p>
    <w:p w14:paraId="3315B72D"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51" w:history="1">
        <w:r w:rsidRPr="003827C6">
          <w:rPr>
            <w:rStyle w:val="Hyperlink"/>
            <w:rtl/>
          </w:rPr>
          <w:t>2-2- المبحث الثاني: جـزاء الباعـث</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Toc8643651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53</w:t>
        </w:r>
        <w:r w:rsidRPr="003827C6">
          <w:rPr>
            <w:webHidden/>
            <w:rtl/>
          </w:rPr>
          <w:fldChar w:fldCharType="end"/>
        </w:r>
      </w:hyperlink>
    </w:p>
    <w:p w14:paraId="63210865"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52" w:history="1">
        <w:r w:rsidRPr="003827C6">
          <w:rPr>
            <w:rStyle w:val="Hyperlink"/>
            <w:i w:val="0"/>
            <w:iCs w:val="0"/>
            <w:rtl/>
          </w:rPr>
          <w:t>2-2-1- المطلب الأول: الجزاء على مخالفة الباعث المشروع</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Toc8643652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53</w:t>
        </w:r>
        <w:r w:rsidRPr="003827C6">
          <w:rPr>
            <w:i w:val="0"/>
            <w:iCs w:val="0"/>
            <w:webHidden/>
            <w:rtl/>
          </w:rPr>
          <w:fldChar w:fldCharType="end"/>
        </w:r>
      </w:hyperlink>
    </w:p>
    <w:p w14:paraId="054BFCBC"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53" w:history="1">
        <w:r w:rsidRPr="003827C6">
          <w:rPr>
            <w:rStyle w:val="Hyperlink"/>
            <w:i w:val="0"/>
            <w:iCs w:val="0"/>
            <w:rtl/>
          </w:rPr>
          <w:t>2-2-2- المطلب الثاني: الجزاء المترتب على عدم مشروعية الباعث</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Toc8643653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56</w:t>
        </w:r>
        <w:r w:rsidRPr="003827C6">
          <w:rPr>
            <w:i w:val="0"/>
            <w:iCs w:val="0"/>
            <w:webHidden/>
            <w:rtl/>
          </w:rPr>
          <w:fldChar w:fldCharType="end"/>
        </w:r>
      </w:hyperlink>
    </w:p>
    <w:p w14:paraId="4F2B7D4E"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54" w:history="1">
        <w:r w:rsidRPr="003827C6">
          <w:rPr>
            <w:rStyle w:val="Hyperlink"/>
            <w:i w:val="0"/>
            <w:iCs w:val="0"/>
            <w:rtl/>
          </w:rPr>
          <w:t>2-2-3- المطلب الثالث: تصحيح الباعث</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Toc8643654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62</w:t>
        </w:r>
        <w:r w:rsidRPr="003827C6">
          <w:rPr>
            <w:i w:val="0"/>
            <w:iCs w:val="0"/>
            <w:webHidden/>
            <w:rtl/>
          </w:rPr>
          <w:fldChar w:fldCharType="end"/>
        </w:r>
      </w:hyperlink>
    </w:p>
    <w:p w14:paraId="5272FE57" w14:textId="77777777" w:rsidR="008C0FB5" w:rsidRPr="00241ACF" w:rsidRDefault="008C0FB5" w:rsidP="003827C6">
      <w:pPr>
        <w:pStyle w:val="11"/>
        <w:spacing w:before="0" w:after="0" w:line="240" w:lineRule="auto"/>
        <w:rPr>
          <w:rFonts w:eastAsia="Times New Roman"/>
          <w:b w:val="0"/>
          <w:bCs w:val="0"/>
          <w:caps w:val="0"/>
          <w:sz w:val="22"/>
          <w:szCs w:val="22"/>
          <w:rtl/>
          <w:lang w:bidi="ar-SA"/>
        </w:rPr>
      </w:pPr>
      <w:hyperlink w:anchor="_Toc8643655" w:history="1">
        <w:r w:rsidRPr="003827C6">
          <w:rPr>
            <w:rStyle w:val="Hyperlink"/>
            <w:rtl/>
          </w:rPr>
          <w:t>الفصل الثال</w:t>
        </w:r>
        <w:r w:rsidRPr="003827C6">
          <w:rPr>
            <w:rStyle w:val="Hyperlink"/>
            <w:rtl/>
          </w:rPr>
          <w:t>ث</w:t>
        </w:r>
      </w:hyperlink>
      <w:r w:rsidR="003827C6" w:rsidRPr="003827C6">
        <w:rPr>
          <w:rStyle w:val="Hyperlink"/>
          <w:rFonts w:hint="cs"/>
          <w:rtl/>
        </w:rPr>
        <w:t xml:space="preserve">: </w:t>
      </w:r>
      <w:hyperlink w:anchor="_Toc8643656" w:history="1">
        <w:r w:rsidRPr="003827C6">
          <w:rPr>
            <w:rStyle w:val="Hyperlink"/>
            <w:rtl/>
            <w:lang w:bidi="fa-IR"/>
          </w:rPr>
          <w:t>نظرية الباعث في الفقه الإسلامي</w:t>
        </w:r>
        <w:r w:rsidR="003827C6" w:rsidRPr="003827C6">
          <w:rPr>
            <w:rFonts w:hint="cs"/>
            <w:webHidden/>
            <w:rtl/>
          </w:rPr>
          <w:t>/</w:t>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Toc8643656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65</w:t>
        </w:r>
        <w:r w:rsidRPr="003827C6">
          <w:rPr>
            <w:webHidden/>
            <w:rtl/>
          </w:rPr>
          <w:fldChar w:fldCharType="end"/>
        </w:r>
      </w:hyperlink>
    </w:p>
    <w:p w14:paraId="209423C1"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57" w:history="1">
        <w:r w:rsidRPr="003827C6">
          <w:rPr>
            <w:rStyle w:val="Hyperlink"/>
            <w:rtl/>
          </w:rPr>
          <w:t>3-1- المبحث الأول</w:t>
        </w:r>
        <w:r w:rsidRPr="003827C6">
          <w:rPr>
            <w:rStyle w:val="Hyperlink"/>
            <w:rtl/>
            <w:lang w:bidi="fa-IR"/>
          </w:rPr>
          <w:t xml:space="preserve">: </w:t>
        </w:r>
        <w:r w:rsidRPr="003827C6">
          <w:rPr>
            <w:rStyle w:val="Hyperlink"/>
            <w:rtl/>
          </w:rPr>
          <w:t>أد</w:t>
        </w:r>
        <w:r w:rsidRPr="003827C6">
          <w:rPr>
            <w:rStyle w:val="Hyperlink"/>
            <w:rtl/>
          </w:rPr>
          <w:t>ل</w:t>
        </w:r>
        <w:r w:rsidRPr="003827C6">
          <w:rPr>
            <w:rStyle w:val="Hyperlink"/>
            <w:rtl/>
          </w:rPr>
          <w:t>ة نظرية الباعث في الأصول التشريعية والقواعد الفقهية</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Toc8643657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68</w:t>
        </w:r>
        <w:r w:rsidRPr="003827C6">
          <w:rPr>
            <w:webHidden/>
            <w:rtl/>
          </w:rPr>
          <w:fldChar w:fldCharType="end"/>
        </w:r>
      </w:hyperlink>
    </w:p>
    <w:p w14:paraId="6E2C55EA"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58" w:history="1">
        <w:r w:rsidRPr="003827C6">
          <w:rPr>
            <w:rStyle w:val="Hyperlink"/>
            <w:i w:val="0"/>
            <w:iCs w:val="0"/>
            <w:rtl/>
          </w:rPr>
          <w:t>3-1-1- المطلب الأول: أصل النظـر في مآلات الأفعال</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Toc8643658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69</w:t>
        </w:r>
        <w:r w:rsidRPr="003827C6">
          <w:rPr>
            <w:i w:val="0"/>
            <w:iCs w:val="0"/>
            <w:webHidden/>
            <w:rtl/>
          </w:rPr>
          <w:fldChar w:fldCharType="end"/>
        </w:r>
      </w:hyperlink>
    </w:p>
    <w:p w14:paraId="35E8D1B1"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59" w:history="1">
        <w:r w:rsidRPr="003827C6">
          <w:rPr>
            <w:rStyle w:val="Hyperlink"/>
            <w:i w:val="0"/>
            <w:iCs w:val="0"/>
            <w:rtl/>
          </w:rPr>
          <w:t>3-1-2- المطلب الثاني: قاعدة الذرائع (سدها وفتحها)</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Toc8643659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75</w:t>
        </w:r>
        <w:r w:rsidRPr="003827C6">
          <w:rPr>
            <w:i w:val="0"/>
            <w:iCs w:val="0"/>
            <w:webHidden/>
            <w:rtl/>
          </w:rPr>
          <w:fldChar w:fldCharType="end"/>
        </w:r>
      </w:hyperlink>
    </w:p>
    <w:p w14:paraId="3FC14B7E"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60" w:history="1">
        <w:r w:rsidRPr="003827C6">
          <w:rPr>
            <w:rStyle w:val="Hyperlink"/>
            <w:rFonts w:ascii="Lotus Linotype" w:hAnsi="Lotus Linotype" w:cs="Lotus Linotype"/>
            <w:rtl/>
          </w:rPr>
          <w:t>الفرع الأول: التعريف بالذرائع (سدها وفتحها)</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Toc8643660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75</w:t>
        </w:r>
        <w:r w:rsidRPr="003827C6">
          <w:rPr>
            <w:rFonts w:ascii="Lotus Linotype" w:hAnsi="Lotus Linotype" w:cs="Lotus Linotype"/>
            <w:webHidden/>
            <w:rtl/>
          </w:rPr>
          <w:fldChar w:fldCharType="end"/>
        </w:r>
      </w:hyperlink>
    </w:p>
    <w:p w14:paraId="7579F298"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61" w:history="1">
        <w:r w:rsidRPr="003827C6">
          <w:rPr>
            <w:rStyle w:val="Hyperlink"/>
            <w:rFonts w:ascii="Lotus Linotype" w:hAnsi="Lotus Linotype" w:cs="Lotus Linotype"/>
            <w:rtl/>
          </w:rPr>
          <w:t>الفرع الثاني</w:t>
        </w:r>
        <w:r w:rsidRPr="003827C6">
          <w:rPr>
            <w:rStyle w:val="Hyperlink"/>
            <w:rFonts w:ascii="Lotus Linotype" w:hAnsi="Lotus Linotype" w:cs="Lotus Linotype"/>
            <w:rtl/>
            <w:lang w:bidi="fa-IR"/>
          </w:rPr>
          <w:t xml:space="preserve">: </w:t>
        </w:r>
        <w:r w:rsidRPr="003827C6">
          <w:rPr>
            <w:rStyle w:val="Hyperlink"/>
            <w:rFonts w:ascii="Lotus Linotype" w:hAnsi="Lotus Linotype" w:cs="Lotus Linotype"/>
            <w:rtl/>
          </w:rPr>
          <w:t>أقسـام الذرائع</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Toc8643661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77</w:t>
        </w:r>
        <w:r w:rsidRPr="003827C6">
          <w:rPr>
            <w:rFonts w:ascii="Lotus Linotype" w:hAnsi="Lotus Linotype" w:cs="Lotus Linotype"/>
            <w:webHidden/>
            <w:rtl/>
          </w:rPr>
          <w:fldChar w:fldCharType="end"/>
        </w:r>
      </w:hyperlink>
    </w:p>
    <w:p w14:paraId="625C988B"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62" w:history="1">
        <w:r w:rsidRPr="003827C6">
          <w:rPr>
            <w:rStyle w:val="Hyperlink"/>
            <w:rFonts w:ascii="Lotus Linotype" w:hAnsi="Lotus Linotype" w:cs="Lotus Linotype"/>
            <w:rtl/>
          </w:rPr>
          <w:t>الفرع الثالث: ما يستنتج مما ذكر من الأدلة</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Toc8643662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83</w:t>
        </w:r>
        <w:r w:rsidRPr="003827C6">
          <w:rPr>
            <w:rFonts w:ascii="Lotus Linotype" w:hAnsi="Lotus Linotype" w:cs="Lotus Linotype"/>
            <w:webHidden/>
            <w:rtl/>
          </w:rPr>
          <w:fldChar w:fldCharType="end"/>
        </w:r>
      </w:hyperlink>
    </w:p>
    <w:p w14:paraId="1554F8EC"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63" w:history="1">
        <w:r w:rsidRPr="003827C6">
          <w:rPr>
            <w:rStyle w:val="Hyperlink"/>
            <w:i w:val="0"/>
            <w:iCs w:val="0"/>
            <w:rtl/>
          </w:rPr>
          <w:t>3-1-3- المطلب الثالث: قاعدة الحيل وقاعدة الأمور بمقاصدها</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Toc8643663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84</w:t>
        </w:r>
        <w:r w:rsidRPr="003827C6">
          <w:rPr>
            <w:i w:val="0"/>
            <w:iCs w:val="0"/>
            <w:webHidden/>
            <w:rtl/>
          </w:rPr>
          <w:fldChar w:fldCharType="end"/>
        </w:r>
      </w:hyperlink>
    </w:p>
    <w:p w14:paraId="77DE22D7"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64" w:history="1">
        <w:r w:rsidRPr="003827C6">
          <w:rPr>
            <w:rStyle w:val="Hyperlink"/>
            <w:rFonts w:ascii="Lotus Linotype" w:hAnsi="Lotus Linotype" w:cs="Lotus Linotype"/>
            <w:rtl/>
          </w:rPr>
          <w:t>الفرع الأول: قاعـدة الحيل</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Toc8643664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84</w:t>
        </w:r>
        <w:r w:rsidRPr="003827C6">
          <w:rPr>
            <w:rFonts w:ascii="Lotus Linotype" w:hAnsi="Lotus Linotype" w:cs="Lotus Linotype"/>
            <w:webHidden/>
            <w:rtl/>
          </w:rPr>
          <w:fldChar w:fldCharType="end"/>
        </w:r>
      </w:hyperlink>
    </w:p>
    <w:p w14:paraId="1FEB7949"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65" w:history="1">
        <w:r w:rsidRPr="003827C6">
          <w:rPr>
            <w:rStyle w:val="Hyperlink"/>
            <w:rFonts w:ascii="Lotus Linotype" w:hAnsi="Lotus Linotype" w:cs="Lotus Linotype"/>
            <w:rtl/>
          </w:rPr>
          <w:t>الفرع الثاني: قاعدة الأمور بمقاصدها</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Toc8643665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87</w:t>
        </w:r>
        <w:r w:rsidRPr="003827C6">
          <w:rPr>
            <w:rFonts w:ascii="Lotus Linotype" w:hAnsi="Lotus Linotype" w:cs="Lotus Linotype"/>
            <w:webHidden/>
            <w:rtl/>
          </w:rPr>
          <w:fldChar w:fldCharType="end"/>
        </w:r>
      </w:hyperlink>
    </w:p>
    <w:p w14:paraId="27989DA5"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66" w:history="1">
        <w:r w:rsidRPr="003827C6">
          <w:rPr>
            <w:rStyle w:val="Hyperlink"/>
            <w:rtl/>
          </w:rPr>
          <w:t>3-2- المبحث الثاني: نظرية الباعث في المذاهب الفقهية المختلفة</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Toc8643666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90</w:t>
        </w:r>
        <w:r w:rsidRPr="003827C6">
          <w:rPr>
            <w:webHidden/>
            <w:rtl/>
          </w:rPr>
          <w:fldChar w:fldCharType="end"/>
        </w:r>
      </w:hyperlink>
    </w:p>
    <w:p w14:paraId="24E4784B"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67" w:history="1">
        <w:r w:rsidRPr="003827C6">
          <w:rPr>
            <w:rStyle w:val="Hyperlink"/>
            <w:i w:val="0"/>
            <w:iCs w:val="0"/>
            <w:rtl/>
          </w:rPr>
          <w:t>3-2-1- المطلب الأول: النظرية الموضوعية للباعث</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Toc8643667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91</w:t>
        </w:r>
        <w:r w:rsidRPr="003827C6">
          <w:rPr>
            <w:i w:val="0"/>
            <w:iCs w:val="0"/>
            <w:webHidden/>
            <w:rtl/>
          </w:rPr>
          <w:fldChar w:fldCharType="end"/>
        </w:r>
      </w:hyperlink>
    </w:p>
    <w:p w14:paraId="6BE7954F"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68" w:history="1">
        <w:r w:rsidRPr="003827C6">
          <w:rPr>
            <w:rStyle w:val="Hyperlink"/>
            <w:rtl/>
          </w:rPr>
          <w:t>3-3- المطلب الثاني: النظرية الذاتية للباعث في الفقه الإسلامي</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Toc8643668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96</w:t>
        </w:r>
        <w:r w:rsidRPr="003827C6">
          <w:rPr>
            <w:webHidden/>
            <w:rtl/>
          </w:rPr>
          <w:fldChar w:fldCharType="end"/>
        </w:r>
      </w:hyperlink>
    </w:p>
    <w:p w14:paraId="2E57DD27"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69" w:history="1">
        <w:r w:rsidRPr="003827C6">
          <w:rPr>
            <w:rStyle w:val="Hyperlink"/>
            <w:rFonts w:ascii="Lotus Linotype" w:hAnsi="Lotus Linotype" w:cs="Lotus Linotype"/>
            <w:rtl/>
          </w:rPr>
          <w:t>الفرع الأول: النظرية الذاتية في المذهب الجعفري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Toc8643669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97</w:t>
        </w:r>
        <w:r w:rsidRPr="003827C6">
          <w:rPr>
            <w:rFonts w:ascii="Lotus Linotype" w:hAnsi="Lotus Linotype" w:cs="Lotus Linotype"/>
            <w:webHidden/>
            <w:rtl/>
          </w:rPr>
          <w:fldChar w:fldCharType="end"/>
        </w:r>
      </w:hyperlink>
    </w:p>
    <w:p w14:paraId="7BCBF8E8"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70" w:history="1">
        <w:r w:rsidRPr="003827C6">
          <w:rPr>
            <w:rStyle w:val="Hyperlink"/>
            <w:rFonts w:ascii="Lotus Linotype" w:hAnsi="Lotus Linotype" w:cs="Lotus Linotype"/>
            <w:rtl/>
          </w:rPr>
          <w:t>الفرع الثاني: النظرية الذاتية في المذهب الحنبلي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Toc8643670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100</w:t>
        </w:r>
        <w:r w:rsidRPr="003827C6">
          <w:rPr>
            <w:rFonts w:ascii="Lotus Linotype" w:hAnsi="Lotus Linotype" w:cs="Lotus Linotype"/>
            <w:webHidden/>
            <w:rtl/>
          </w:rPr>
          <w:fldChar w:fldCharType="end"/>
        </w:r>
      </w:hyperlink>
    </w:p>
    <w:p w14:paraId="5B18D105"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71" w:history="1">
        <w:r w:rsidRPr="003827C6">
          <w:rPr>
            <w:rStyle w:val="Hyperlink"/>
            <w:rFonts w:ascii="Lotus Linotype" w:hAnsi="Lotus Linotype" w:cs="Lotus Linotype"/>
            <w:rtl/>
          </w:rPr>
          <w:t>الفرع الثالث: النظرية الذاتية في المذهب المالكي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Toc8643671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104</w:t>
        </w:r>
        <w:r w:rsidRPr="003827C6">
          <w:rPr>
            <w:rFonts w:ascii="Lotus Linotype" w:hAnsi="Lotus Linotype" w:cs="Lotus Linotype"/>
            <w:webHidden/>
            <w:rtl/>
          </w:rPr>
          <w:fldChar w:fldCharType="end"/>
        </w:r>
      </w:hyperlink>
    </w:p>
    <w:p w14:paraId="621786A7"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72" w:history="1">
        <w:r w:rsidRPr="003827C6">
          <w:rPr>
            <w:rStyle w:val="Hyperlink"/>
            <w:i w:val="0"/>
            <w:iCs w:val="0"/>
            <w:rtl/>
          </w:rPr>
          <w:t>3-3-1- المطلب الثالث: النظـرية المختلطة للباعـث</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Toc8643672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106</w:t>
        </w:r>
        <w:r w:rsidRPr="003827C6">
          <w:rPr>
            <w:i w:val="0"/>
            <w:iCs w:val="0"/>
            <w:webHidden/>
            <w:rtl/>
          </w:rPr>
          <w:fldChar w:fldCharType="end"/>
        </w:r>
      </w:hyperlink>
    </w:p>
    <w:p w14:paraId="3B95ACB4" w14:textId="77777777" w:rsidR="008C0FB5" w:rsidRPr="00241ACF" w:rsidRDefault="008C0FB5" w:rsidP="005C08F2">
      <w:pPr>
        <w:pStyle w:val="11"/>
        <w:spacing w:before="0" w:after="0" w:line="240" w:lineRule="auto"/>
        <w:rPr>
          <w:rFonts w:eastAsia="Times New Roman"/>
          <w:b w:val="0"/>
          <w:bCs w:val="0"/>
          <w:caps w:val="0"/>
          <w:sz w:val="22"/>
          <w:szCs w:val="22"/>
          <w:rtl/>
          <w:lang w:bidi="ar-SA"/>
        </w:rPr>
      </w:pPr>
      <w:hyperlink w:anchor="_Toc8643673" w:history="1">
        <w:r w:rsidRPr="003827C6">
          <w:rPr>
            <w:rStyle w:val="Hyperlink"/>
            <w:rtl/>
          </w:rPr>
          <w:t>الفصل الرابع</w:t>
        </w:r>
        <w:r w:rsidR="005C08F2">
          <w:rPr>
            <w:rStyle w:val="Hyperlink"/>
            <w:rFonts w:hint="cs"/>
            <w:rtl/>
          </w:rPr>
          <w:t>:</w:t>
        </w:r>
      </w:hyperlink>
      <w:r w:rsidR="005C08F2">
        <w:rPr>
          <w:rStyle w:val="Hyperlink"/>
          <w:rFonts w:hint="cs"/>
          <w:rtl/>
        </w:rPr>
        <w:t xml:space="preserve"> </w:t>
      </w:r>
      <w:hyperlink w:anchor="_Toc8643674" w:history="1">
        <w:r w:rsidRPr="003827C6">
          <w:rPr>
            <w:rStyle w:val="Hyperlink"/>
            <w:rtl/>
          </w:rPr>
          <w:t>نظرية الباعث في بعض النظم القانونية الوضعية</w:t>
        </w:r>
        <w:r w:rsidR="005C08F2">
          <w:rPr>
            <w:rFonts w:hint="cs"/>
            <w:webHidden/>
            <w:rtl/>
          </w:rPr>
          <w:t>/</w:t>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Toc8643674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111</w:t>
        </w:r>
        <w:r w:rsidRPr="003827C6">
          <w:rPr>
            <w:webHidden/>
            <w:rtl/>
          </w:rPr>
          <w:fldChar w:fldCharType="end"/>
        </w:r>
      </w:hyperlink>
    </w:p>
    <w:p w14:paraId="780F4EC7"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75" w:history="1">
        <w:r w:rsidRPr="003827C6">
          <w:rPr>
            <w:rStyle w:val="Hyperlink"/>
            <w:rtl/>
          </w:rPr>
          <w:t>4-1- المبحث الأول: موقف بعض النظم القانونية الغربية من نظرية الباعث</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Toc8643675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114</w:t>
        </w:r>
        <w:r w:rsidRPr="003827C6">
          <w:rPr>
            <w:webHidden/>
            <w:rtl/>
          </w:rPr>
          <w:fldChar w:fldCharType="end"/>
        </w:r>
      </w:hyperlink>
    </w:p>
    <w:p w14:paraId="7E4E1CE1"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76" w:history="1">
        <w:r w:rsidRPr="003827C6">
          <w:rPr>
            <w:rStyle w:val="Hyperlink"/>
            <w:i w:val="0"/>
            <w:iCs w:val="0"/>
            <w:rtl/>
          </w:rPr>
          <w:t>4-1-1- المطلب الأول: موقف النظام القانوني الفرنسي من نظرية الباعث</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Toc8643676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114</w:t>
        </w:r>
        <w:r w:rsidRPr="003827C6">
          <w:rPr>
            <w:i w:val="0"/>
            <w:iCs w:val="0"/>
            <w:webHidden/>
            <w:rtl/>
          </w:rPr>
          <w:fldChar w:fldCharType="end"/>
        </w:r>
      </w:hyperlink>
    </w:p>
    <w:p w14:paraId="15B6D5DB"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77" w:history="1">
        <w:r w:rsidRPr="003827C6">
          <w:rPr>
            <w:rStyle w:val="Hyperlink"/>
            <w:rFonts w:ascii="Lotus Linotype" w:hAnsi="Lotus Linotype" w:cs="Lotus Linotype"/>
            <w:rtl/>
          </w:rPr>
          <w:t>الفرع الأول: موقف القانون المدني الفرنسي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Toc8643677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114</w:t>
        </w:r>
        <w:r w:rsidRPr="003827C6">
          <w:rPr>
            <w:rFonts w:ascii="Lotus Linotype" w:hAnsi="Lotus Linotype" w:cs="Lotus Linotype"/>
            <w:webHidden/>
            <w:rtl/>
          </w:rPr>
          <w:fldChar w:fldCharType="end"/>
        </w:r>
      </w:hyperlink>
    </w:p>
    <w:p w14:paraId="2236FE9D"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78" w:history="1">
        <w:r w:rsidRPr="003827C6">
          <w:rPr>
            <w:rStyle w:val="Hyperlink"/>
            <w:rFonts w:ascii="Lotus Linotype" w:hAnsi="Lotus Linotype" w:cs="Lotus Linotype"/>
            <w:rtl/>
          </w:rPr>
          <w:t>الفرع الثاني: موقـف القضاء الفرنسي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Toc8643678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115</w:t>
        </w:r>
        <w:r w:rsidRPr="003827C6">
          <w:rPr>
            <w:rFonts w:ascii="Lotus Linotype" w:hAnsi="Lotus Linotype" w:cs="Lotus Linotype"/>
            <w:webHidden/>
            <w:rtl/>
          </w:rPr>
          <w:fldChar w:fldCharType="end"/>
        </w:r>
      </w:hyperlink>
    </w:p>
    <w:p w14:paraId="32D28E86"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79" w:history="1">
        <w:r w:rsidRPr="003827C6">
          <w:rPr>
            <w:rStyle w:val="Hyperlink"/>
            <w:i w:val="0"/>
            <w:iCs w:val="0"/>
            <w:rtl/>
          </w:rPr>
          <w:t>4-1-2- المطلب الثاني: موقف النظام القانوني الألماني</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Toc8643679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119</w:t>
        </w:r>
        <w:r w:rsidRPr="003827C6">
          <w:rPr>
            <w:i w:val="0"/>
            <w:iCs w:val="0"/>
            <w:webHidden/>
            <w:rtl/>
          </w:rPr>
          <w:fldChar w:fldCharType="end"/>
        </w:r>
      </w:hyperlink>
    </w:p>
    <w:p w14:paraId="52B27B14"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80" w:history="1">
        <w:r w:rsidRPr="003827C6">
          <w:rPr>
            <w:rStyle w:val="Hyperlink"/>
            <w:rFonts w:ascii="Lotus Linotype" w:hAnsi="Lotus Linotype" w:cs="Lotus Linotype"/>
            <w:rtl/>
          </w:rPr>
          <w:t>الفرع الأول: موقف القانون المـدني الألمـاني</w:t>
        </w:r>
        <w:r w:rsidRPr="003827C6">
          <w:rPr>
            <w:rStyle w:val="Hyperlink"/>
            <w:rFonts w:ascii="Lotus Linotype" w:hAnsi="Lotus Linotype" w:cs="Lotus Linotype"/>
            <w:vertAlign w:val="superscript"/>
            <w:rtl/>
          </w:rPr>
          <w:t>()</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Toc8643680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119</w:t>
        </w:r>
        <w:r w:rsidRPr="003827C6">
          <w:rPr>
            <w:rFonts w:ascii="Lotus Linotype" w:hAnsi="Lotus Linotype" w:cs="Lotus Linotype"/>
            <w:webHidden/>
            <w:rtl/>
          </w:rPr>
          <w:fldChar w:fldCharType="end"/>
        </w:r>
      </w:hyperlink>
    </w:p>
    <w:p w14:paraId="24288449"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81" w:history="1">
        <w:r w:rsidRPr="003827C6">
          <w:rPr>
            <w:rStyle w:val="Hyperlink"/>
            <w:rFonts w:ascii="Lotus Linotype" w:hAnsi="Lotus Linotype" w:cs="Lotus Linotype"/>
            <w:rtl/>
          </w:rPr>
          <w:t>الفرع الثاني: موقف القضاء الألماني</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Toc8643681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121</w:t>
        </w:r>
        <w:r w:rsidRPr="003827C6">
          <w:rPr>
            <w:rFonts w:ascii="Lotus Linotype" w:hAnsi="Lotus Linotype" w:cs="Lotus Linotype"/>
            <w:webHidden/>
            <w:rtl/>
          </w:rPr>
          <w:fldChar w:fldCharType="end"/>
        </w:r>
      </w:hyperlink>
    </w:p>
    <w:p w14:paraId="4167AC14"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82" w:history="1">
        <w:r w:rsidRPr="003827C6">
          <w:rPr>
            <w:rStyle w:val="Hyperlink"/>
            <w:rtl/>
          </w:rPr>
          <w:t>4-2- المبحث الثاني: موقف بعض النظم القانونية العربية من نظرية الباعث</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Toc8643682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124</w:t>
        </w:r>
        <w:r w:rsidRPr="003827C6">
          <w:rPr>
            <w:webHidden/>
            <w:rtl/>
          </w:rPr>
          <w:fldChar w:fldCharType="end"/>
        </w:r>
      </w:hyperlink>
    </w:p>
    <w:p w14:paraId="414140A6"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83" w:history="1">
        <w:r w:rsidRPr="003827C6">
          <w:rPr>
            <w:rStyle w:val="Hyperlink"/>
            <w:i w:val="0"/>
            <w:iCs w:val="0"/>
            <w:rtl/>
          </w:rPr>
          <w:t>4-2-1- المطلب الأول: التقنينات العربية التي تميل إلى النظرية الحديثة</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Toc8643683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124</w:t>
        </w:r>
        <w:r w:rsidRPr="003827C6">
          <w:rPr>
            <w:i w:val="0"/>
            <w:iCs w:val="0"/>
            <w:webHidden/>
            <w:rtl/>
          </w:rPr>
          <w:fldChar w:fldCharType="end"/>
        </w:r>
      </w:hyperlink>
    </w:p>
    <w:p w14:paraId="7F5A01C8"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84" w:history="1">
        <w:r w:rsidRPr="003827C6">
          <w:rPr>
            <w:rStyle w:val="Hyperlink"/>
            <w:i w:val="0"/>
            <w:iCs w:val="0"/>
            <w:rtl/>
          </w:rPr>
          <w:t>4-2-2- المطلب الثاني: التقنينات العربية التي لم تأخذ بالنظرية الحديثة</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Toc8643684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127</w:t>
        </w:r>
        <w:r w:rsidRPr="003827C6">
          <w:rPr>
            <w:i w:val="0"/>
            <w:iCs w:val="0"/>
            <w:webHidden/>
            <w:rtl/>
          </w:rPr>
          <w:fldChar w:fldCharType="end"/>
        </w:r>
      </w:hyperlink>
    </w:p>
    <w:p w14:paraId="3B0361EC"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85" w:history="1">
        <w:r w:rsidRPr="003827C6">
          <w:rPr>
            <w:rStyle w:val="Hyperlink"/>
            <w:i w:val="0"/>
            <w:iCs w:val="0"/>
            <w:rtl/>
          </w:rPr>
          <w:t>4-2-3- المطلب الثالث: التقنينات العربية التي تميل إلى الخلط بين النظريتين</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Toc8643685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128</w:t>
        </w:r>
        <w:r w:rsidRPr="003827C6">
          <w:rPr>
            <w:i w:val="0"/>
            <w:iCs w:val="0"/>
            <w:webHidden/>
            <w:rtl/>
          </w:rPr>
          <w:fldChar w:fldCharType="end"/>
        </w:r>
      </w:hyperlink>
    </w:p>
    <w:p w14:paraId="0BD075C7" w14:textId="77777777" w:rsidR="008C0FB5" w:rsidRPr="00241ACF" w:rsidRDefault="008C0FB5" w:rsidP="003827C6">
      <w:pPr>
        <w:pStyle w:val="21"/>
        <w:spacing w:line="240" w:lineRule="auto"/>
        <w:rPr>
          <w:rFonts w:eastAsia="Times New Roman"/>
          <w:b w:val="0"/>
          <w:bCs w:val="0"/>
          <w:smallCaps w:val="0"/>
          <w:sz w:val="22"/>
          <w:szCs w:val="22"/>
          <w:rtl/>
          <w:lang w:bidi="ar-SA"/>
        </w:rPr>
      </w:pPr>
      <w:hyperlink w:anchor="_Toc8643686" w:history="1">
        <w:r w:rsidRPr="003827C6">
          <w:rPr>
            <w:rStyle w:val="Hyperlink"/>
            <w:rtl/>
          </w:rPr>
          <w:t>4-3- المبحث الثالث: نظرية الاعتبار في القانون الانكليزي</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Toc8643686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133</w:t>
        </w:r>
        <w:r w:rsidRPr="003827C6">
          <w:rPr>
            <w:webHidden/>
            <w:rtl/>
          </w:rPr>
          <w:fldChar w:fldCharType="end"/>
        </w:r>
      </w:hyperlink>
    </w:p>
    <w:p w14:paraId="5742FB01"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87" w:history="1">
        <w:r w:rsidRPr="003827C6">
          <w:rPr>
            <w:rStyle w:val="Hyperlink"/>
            <w:i w:val="0"/>
            <w:iCs w:val="0"/>
            <w:rtl/>
          </w:rPr>
          <w:t>4-3-1- المطلب الأول: تعريف الاعتبار وبيان أنواعه</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Toc8643687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133</w:t>
        </w:r>
        <w:r w:rsidRPr="003827C6">
          <w:rPr>
            <w:i w:val="0"/>
            <w:iCs w:val="0"/>
            <w:webHidden/>
            <w:rtl/>
          </w:rPr>
          <w:fldChar w:fldCharType="end"/>
        </w:r>
      </w:hyperlink>
    </w:p>
    <w:p w14:paraId="3FA4398B"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88" w:history="1">
        <w:r w:rsidRPr="003827C6">
          <w:rPr>
            <w:rStyle w:val="Hyperlink"/>
            <w:rFonts w:ascii="Lotus Linotype" w:hAnsi="Lotus Linotype" w:cs="Lotus Linotype"/>
            <w:rtl/>
          </w:rPr>
          <w:t>الفرع الأول: تعـريف الاعتبار</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Toc8643688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133</w:t>
        </w:r>
        <w:r w:rsidRPr="003827C6">
          <w:rPr>
            <w:rFonts w:ascii="Lotus Linotype" w:hAnsi="Lotus Linotype" w:cs="Lotus Linotype"/>
            <w:webHidden/>
            <w:rtl/>
          </w:rPr>
          <w:fldChar w:fldCharType="end"/>
        </w:r>
      </w:hyperlink>
    </w:p>
    <w:p w14:paraId="1A405DB8"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89" w:history="1">
        <w:r w:rsidRPr="003827C6">
          <w:rPr>
            <w:rStyle w:val="Hyperlink"/>
            <w:rFonts w:ascii="Lotus Linotype" w:hAnsi="Lotus Linotype" w:cs="Lotus Linotype"/>
            <w:rtl/>
          </w:rPr>
          <w:t>الفرع الثاني: أنواع الاعتـبار</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Toc8643689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135</w:t>
        </w:r>
        <w:r w:rsidRPr="003827C6">
          <w:rPr>
            <w:rFonts w:ascii="Lotus Linotype" w:hAnsi="Lotus Linotype" w:cs="Lotus Linotype"/>
            <w:webHidden/>
            <w:rtl/>
          </w:rPr>
          <w:fldChar w:fldCharType="end"/>
        </w:r>
      </w:hyperlink>
    </w:p>
    <w:p w14:paraId="3258159D" w14:textId="77777777" w:rsidR="008C0FB5" w:rsidRPr="00241ACF" w:rsidRDefault="008C0FB5" w:rsidP="003827C6">
      <w:pPr>
        <w:pStyle w:val="30"/>
        <w:spacing w:line="240" w:lineRule="auto"/>
        <w:rPr>
          <w:rFonts w:eastAsia="Times New Roman"/>
          <w:b w:val="0"/>
          <w:bCs w:val="0"/>
          <w:i w:val="0"/>
          <w:iCs w:val="0"/>
          <w:sz w:val="22"/>
          <w:szCs w:val="22"/>
          <w:rtl/>
          <w:lang w:bidi="ar-SA"/>
        </w:rPr>
      </w:pPr>
      <w:hyperlink w:anchor="_Toc8643690" w:history="1">
        <w:r w:rsidRPr="003827C6">
          <w:rPr>
            <w:rStyle w:val="Hyperlink"/>
            <w:i w:val="0"/>
            <w:iCs w:val="0"/>
            <w:rtl/>
          </w:rPr>
          <w:t>4-3-2- المطلب الثاني: شروط الاعتبار وخصائصه</w:t>
        </w:r>
        <w:r w:rsidRPr="003827C6">
          <w:rPr>
            <w:i w:val="0"/>
            <w:iCs w:val="0"/>
            <w:webHidden/>
            <w:rtl/>
          </w:rPr>
          <w:tab/>
        </w:r>
        <w:r w:rsidRPr="003827C6">
          <w:rPr>
            <w:i w:val="0"/>
            <w:iCs w:val="0"/>
            <w:webHidden/>
            <w:rtl/>
          </w:rPr>
          <w:fldChar w:fldCharType="begin"/>
        </w:r>
        <w:r w:rsidRPr="003827C6">
          <w:rPr>
            <w:i w:val="0"/>
            <w:iCs w:val="0"/>
            <w:webHidden/>
            <w:rtl/>
          </w:rPr>
          <w:instrText xml:space="preserve"> </w:instrText>
        </w:r>
        <w:r w:rsidRPr="003827C6">
          <w:rPr>
            <w:i w:val="0"/>
            <w:iCs w:val="0"/>
            <w:webHidden/>
          </w:rPr>
          <w:instrText>PAGEREF</w:instrText>
        </w:r>
        <w:r w:rsidRPr="003827C6">
          <w:rPr>
            <w:i w:val="0"/>
            <w:iCs w:val="0"/>
            <w:webHidden/>
            <w:rtl/>
          </w:rPr>
          <w:instrText xml:space="preserve"> _</w:instrText>
        </w:r>
        <w:r w:rsidRPr="003827C6">
          <w:rPr>
            <w:i w:val="0"/>
            <w:iCs w:val="0"/>
            <w:webHidden/>
          </w:rPr>
          <w:instrText>Toc8643690 \h</w:instrText>
        </w:r>
        <w:r w:rsidRPr="003827C6">
          <w:rPr>
            <w:i w:val="0"/>
            <w:iCs w:val="0"/>
            <w:webHidden/>
            <w:rtl/>
          </w:rPr>
          <w:instrText xml:space="preserve"> </w:instrText>
        </w:r>
        <w:r w:rsidRPr="003827C6">
          <w:rPr>
            <w:i w:val="0"/>
            <w:iCs w:val="0"/>
            <w:webHidden/>
            <w:rtl/>
          </w:rPr>
        </w:r>
        <w:r w:rsidRPr="003827C6">
          <w:rPr>
            <w:i w:val="0"/>
            <w:iCs w:val="0"/>
            <w:webHidden/>
            <w:rtl/>
          </w:rPr>
          <w:fldChar w:fldCharType="separate"/>
        </w:r>
        <w:r w:rsidR="00F63793">
          <w:rPr>
            <w:i w:val="0"/>
            <w:iCs w:val="0"/>
            <w:webHidden/>
            <w:rtl/>
            <w:lang w:bidi="ar-SA"/>
          </w:rPr>
          <w:t>137</w:t>
        </w:r>
        <w:r w:rsidRPr="003827C6">
          <w:rPr>
            <w:i w:val="0"/>
            <w:iCs w:val="0"/>
            <w:webHidden/>
            <w:rtl/>
          </w:rPr>
          <w:fldChar w:fldCharType="end"/>
        </w:r>
      </w:hyperlink>
    </w:p>
    <w:p w14:paraId="78420398"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91" w:history="1">
        <w:r w:rsidRPr="003827C6">
          <w:rPr>
            <w:rStyle w:val="Hyperlink"/>
            <w:rFonts w:ascii="Lotus Linotype" w:hAnsi="Lotus Linotype" w:cs="Lotus Linotype"/>
            <w:rtl/>
          </w:rPr>
          <w:t>الفرع الأول: شروط الاعتبار</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Toc8643691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137</w:t>
        </w:r>
        <w:r w:rsidRPr="003827C6">
          <w:rPr>
            <w:rFonts w:ascii="Lotus Linotype" w:hAnsi="Lotus Linotype" w:cs="Lotus Linotype"/>
            <w:webHidden/>
            <w:rtl/>
          </w:rPr>
          <w:fldChar w:fldCharType="end"/>
        </w:r>
      </w:hyperlink>
    </w:p>
    <w:p w14:paraId="1790DD13" w14:textId="77777777" w:rsidR="008C0FB5" w:rsidRPr="00241ACF" w:rsidRDefault="008C0FB5" w:rsidP="003827C6">
      <w:pPr>
        <w:pStyle w:val="40"/>
        <w:spacing w:line="240" w:lineRule="auto"/>
        <w:rPr>
          <w:rFonts w:ascii="Lotus Linotype" w:eastAsia="Times New Roman" w:hAnsi="Lotus Linotype" w:cs="Lotus Linotype"/>
          <w:sz w:val="22"/>
          <w:rtl/>
          <w:lang w:bidi="ar-SA"/>
        </w:rPr>
      </w:pPr>
      <w:hyperlink w:anchor="_Toc8643692" w:history="1">
        <w:r w:rsidRPr="003827C6">
          <w:rPr>
            <w:rStyle w:val="Hyperlink"/>
            <w:rFonts w:ascii="Lotus Linotype" w:hAnsi="Lotus Linotype" w:cs="Lotus Linotype"/>
            <w:rtl/>
          </w:rPr>
          <w:t>الفرع الثاني: خصائص الاعتـبار</w:t>
        </w:r>
        <w:r w:rsidRPr="003827C6">
          <w:rPr>
            <w:rFonts w:ascii="Lotus Linotype" w:hAnsi="Lotus Linotype" w:cs="Lotus Linotype"/>
            <w:webHidden/>
            <w:rtl/>
          </w:rPr>
          <w:tab/>
        </w:r>
        <w:r w:rsidRPr="003827C6">
          <w:rPr>
            <w:rFonts w:ascii="Lotus Linotype" w:hAnsi="Lotus Linotype" w:cs="Lotus Linotype"/>
            <w:webHidden/>
            <w:rtl/>
          </w:rPr>
          <w:fldChar w:fldCharType="begin"/>
        </w:r>
        <w:r w:rsidRPr="003827C6">
          <w:rPr>
            <w:rFonts w:ascii="Lotus Linotype" w:hAnsi="Lotus Linotype" w:cs="Lotus Linotype"/>
            <w:webHidden/>
            <w:rtl/>
          </w:rPr>
          <w:instrText xml:space="preserve"> </w:instrText>
        </w:r>
        <w:r w:rsidRPr="003827C6">
          <w:rPr>
            <w:rFonts w:ascii="Lotus Linotype" w:hAnsi="Lotus Linotype" w:cs="Lotus Linotype"/>
            <w:webHidden/>
          </w:rPr>
          <w:instrText>PAGEREF</w:instrText>
        </w:r>
        <w:r w:rsidRPr="003827C6">
          <w:rPr>
            <w:rFonts w:ascii="Lotus Linotype" w:hAnsi="Lotus Linotype" w:cs="Lotus Linotype"/>
            <w:webHidden/>
            <w:rtl/>
          </w:rPr>
          <w:instrText xml:space="preserve"> _</w:instrText>
        </w:r>
        <w:r w:rsidRPr="003827C6">
          <w:rPr>
            <w:rFonts w:ascii="Lotus Linotype" w:hAnsi="Lotus Linotype" w:cs="Lotus Linotype"/>
            <w:webHidden/>
          </w:rPr>
          <w:instrText>Toc8643692 \h</w:instrText>
        </w:r>
        <w:r w:rsidRPr="003827C6">
          <w:rPr>
            <w:rFonts w:ascii="Lotus Linotype" w:hAnsi="Lotus Linotype" w:cs="Lotus Linotype"/>
            <w:webHidden/>
            <w:rtl/>
          </w:rPr>
          <w:instrText xml:space="preserve"> </w:instrText>
        </w:r>
        <w:r w:rsidRPr="003827C6">
          <w:rPr>
            <w:rFonts w:ascii="Lotus Linotype" w:hAnsi="Lotus Linotype" w:cs="Lotus Linotype"/>
            <w:webHidden/>
            <w:rtl/>
          </w:rPr>
        </w:r>
        <w:r w:rsidRPr="003827C6">
          <w:rPr>
            <w:rFonts w:ascii="Lotus Linotype" w:hAnsi="Lotus Linotype" w:cs="Lotus Linotype"/>
            <w:webHidden/>
            <w:rtl/>
          </w:rPr>
          <w:fldChar w:fldCharType="separate"/>
        </w:r>
        <w:r w:rsidR="00F63793">
          <w:rPr>
            <w:rFonts w:ascii="Lotus Linotype" w:hAnsi="Lotus Linotype" w:cs="Lotus Linotype"/>
            <w:webHidden/>
            <w:rtl/>
            <w:lang w:bidi="ar-SA"/>
          </w:rPr>
          <w:t>140</w:t>
        </w:r>
        <w:r w:rsidRPr="003827C6">
          <w:rPr>
            <w:rFonts w:ascii="Lotus Linotype" w:hAnsi="Lotus Linotype" w:cs="Lotus Linotype"/>
            <w:webHidden/>
            <w:rtl/>
          </w:rPr>
          <w:fldChar w:fldCharType="end"/>
        </w:r>
      </w:hyperlink>
    </w:p>
    <w:p w14:paraId="2B7DE950" w14:textId="77777777" w:rsidR="008C0FB5" w:rsidRPr="00241ACF" w:rsidRDefault="008C0FB5" w:rsidP="005C08F2">
      <w:pPr>
        <w:pStyle w:val="11"/>
        <w:spacing w:before="0" w:after="0" w:line="240" w:lineRule="auto"/>
        <w:rPr>
          <w:rFonts w:eastAsia="Times New Roman"/>
          <w:b w:val="0"/>
          <w:bCs w:val="0"/>
          <w:caps w:val="0"/>
          <w:sz w:val="22"/>
          <w:szCs w:val="22"/>
          <w:rtl/>
          <w:lang w:bidi="ar-SA"/>
        </w:rPr>
      </w:pPr>
      <w:hyperlink w:anchor="_Toc8643693" w:history="1">
        <w:r w:rsidRPr="003827C6">
          <w:rPr>
            <w:rStyle w:val="Hyperlink"/>
            <w:rtl/>
          </w:rPr>
          <w:t>قائمة</w:t>
        </w:r>
      </w:hyperlink>
      <w:r w:rsidR="005C08F2">
        <w:rPr>
          <w:rStyle w:val="Hyperlink"/>
          <w:rFonts w:hint="cs"/>
          <w:rtl/>
        </w:rPr>
        <w:t xml:space="preserve"> </w:t>
      </w:r>
      <w:hyperlink w:anchor="_Toc8643694" w:history="1">
        <w:r w:rsidRPr="003827C6">
          <w:rPr>
            <w:rStyle w:val="Hyperlink"/>
            <w:rtl/>
          </w:rPr>
          <w:t>المصـــادر والمراجــــــع</w:t>
        </w:r>
        <w:r w:rsidRPr="003827C6">
          <w:rPr>
            <w:webHidden/>
            <w:rtl/>
          </w:rPr>
          <w:tab/>
        </w:r>
        <w:r w:rsidRPr="003827C6">
          <w:rPr>
            <w:webHidden/>
            <w:rtl/>
          </w:rPr>
          <w:fldChar w:fldCharType="begin"/>
        </w:r>
        <w:r w:rsidRPr="003827C6">
          <w:rPr>
            <w:webHidden/>
            <w:rtl/>
          </w:rPr>
          <w:instrText xml:space="preserve"> </w:instrText>
        </w:r>
        <w:r w:rsidRPr="003827C6">
          <w:rPr>
            <w:webHidden/>
          </w:rPr>
          <w:instrText>PAGEREF</w:instrText>
        </w:r>
        <w:r w:rsidRPr="003827C6">
          <w:rPr>
            <w:webHidden/>
            <w:rtl/>
          </w:rPr>
          <w:instrText xml:space="preserve"> _</w:instrText>
        </w:r>
        <w:r w:rsidRPr="003827C6">
          <w:rPr>
            <w:webHidden/>
          </w:rPr>
          <w:instrText>Toc8643694 \h</w:instrText>
        </w:r>
        <w:r w:rsidRPr="003827C6">
          <w:rPr>
            <w:webHidden/>
            <w:rtl/>
          </w:rPr>
          <w:instrText xml:space="preserve"> </w:instrText>
        </w:r>
        <w:r w:rsidRPr="003827C6">
          <w:rPr>
            <w:webHidden/>
            <w:rtl/>
          </w:rPr>
        </w:r>
        <w:r w:rsidRPr="003827C6">
          <w:rPr>
            <w:webHidden/>
            <w:rtl/>
          </w:rPr>
          <w:fldChar w:fldCharType="separate"/>
        </w:r>
        <w:r w:rsidR="00F63793">
          <w:rPr>
            <w:webHidden/>
            <w:rtl/>
            <w:lang w:bidi="ar-SA"/>
          </w:rPr>
          <w:t>147</w:t>
        </w:r>
        <w:r w:rsidRPr="003827C6">
          <w:rPr>
            <w:webHidden/>
            <w:rtl/>
          </w:rPr>
          <w:fldChar w:fldCharType="end"/>
        </w:r>
      </w:hyperlink>
    </w:p>
    <w:p w14:paraId="186C5983" w14:textId="77777777" w:rsidR="00007798" w:rsidRPr="008C0FB5" w:rsidRDefault="00683ED4" w:rsidP="00155784">
      <w:pPr>
        <w:pStyle w:val="35"/>
        <w:rPr>
          <w:rtl/>
        </w:rPr>
      </w:pPr>
      <w:r w:rsidRPr="008C0FB5">
        <w:rPr>
          <w:rtl/>
        </w:rPr>
        <w:fldChar w:fldCharType="end"/>
      </w:r>
    </w:p>
    <w:p w14:paraId="0FB2B9F4" w14:textId="77777777" w:rsidR="005A1DB3" w:rsidRPr="008C0FB5" w:rsidRDefault="005A1DB3" w:rsidP="00155784">
      <w:pPr>
        <w:pStyle w:val="35"/>
        <w:rPr>
          <w:rtl/>
        </w:rPr>
      </w:pPr>
    </w:p>
    <w:p w14:paraId="5694846E" w14:textId="77777777" w:rsidR="005A5C98" w:rsidRPr="008C0FB5" w:rsidRDefault="005A5C98" w:rsidP="00155784">
      <w:pPr>
        <w:pStyle w:val="35"/>
        <w:rPr>
          <w:rtl/>
        </w:rPr>
        <w:sectPr w:rsidR="005A5C98" w:rsidRPr="008C0FB5" w:rsidSect="00F63793">
          <w:footnotePr>
            <w:numRestart w:val="eachPage"/>
          </w:footnotePr>
          <w:type w:val="oddPage"/>
          <w:pgSz w:w="11906" w:h="16838" w:code="9"/>
          <w:pgMar w:top="1701" w:right="1701" w:bottom="1701" w:left="1418" w:header="1418" w:footer="1418" w:gutter="0"/>
          <w:pgNumType w:fmt="arabicAbjad"/>
          <w:cols w:space="708"/>
          <w:titlePg/>
          <w:bidi/>
          <w:rtlGutter/>
          <w:docGrid w:linePitch="360"/>
        </w:sectPr>
      </w:pPr>
    </w:p>
    <w:p w14:paraId="1AA9520B" w14:textId="77777777" w:rsidR="005A1DB3" w:rsidRPr="008C0FB5" w:rsidRDefault="005A1DB3" w:rsidP="00155784">
      <w:pPr>
        <w:pStyle w:val="35"/>
        <w:rPr>
          <w:rFonts w:hint="cs"/>
          <w:rtl/>
        </w:rPr>
        <w:sectPr w:rsidR="005A1DB3" w:rsidRPr="008C0FB5" w:rsidSect="005A5C98">
          <w:footnotePr>
            <w:numRestart w:val="eachPage"/>
          </w:footnotePr>
          <w:type w:val="continuous"/>
          <w:pgSz w:w="11906" w:h="16838" w:code="9"/>
          <w:pgMar w:top="1701" w:right="1701" w:bottom="1701" w:left="1418" w:header="1418" w:footer="1418" w:gutter="0"/>
          <w:cols w:space="708"/>
          <w:titlePg/>
          <w:bidi/>
          <w:rtlGutter/>
          <w:docGrid w:linePitch="360"/>
        </w:sectPr>
      </w:pPr>
    </w:p>
    <w:p w14:paraId="6CBD40EB" w14:textId="3E508D4D" w:rsidR="00E3239A" w:rsidRPr="008C0FB5" w:rsidRDefault="007C3C34" w:rsidP="00155784">
      <w:pPr>
        <w:pStyle w:val="35"/>
        <w:rPr>
          <w:rtl/>
        </w:rPr>
        <w:sectPr w:rsidR="00E3239A" w:rsidRPr="008C0FB5" w:rsidSect="005A1DB3">
          <w:headerReference w:type="default" r:id="rId16"/>
          <w:footnotePr>
            <w:numRestart w:val="eachPage"/>
          </w:footnotePr>
          <w:type w:val="continuous"/>
          <w:pgSz w:w="11906" w:h="16838" w:code="9"/>
          <w:pgMar w:top="1701" w:right="1701" w:bottom="1701" w:left="1418" w:header="1418" w:footer="1418" w:gutter="0"/>
          <w:cols w:space="708"/>
          <w:titlePg/>
          <w:bidi/>
          <w:rtlGutter/>
          <w:docGrid w:linePitch="360"/>
        </w:sectPr>
      </w:pPr>
      <w:r w:rsidRPr="008C0FB5">
        <w:rPr>
          <w:noProof/>
          <w:rtl/>
        </w:rPr>
        <mc:AlternateContent>
          <mc:Choice Requires="wps">
            <w:drawing>
              <wp:anchor distT="0" distB="0" distL="114300" distR="114300" simplePos="0" relativeHeight="251653632" behindDoc="0" locked="0" layoutInCell="1" allowOverlap="1" wp14:anchorId="45A2CF37" wp14:editId="0E110745">
                <wp:simplePos x="0" y="0"/>
                <wp:positionH relativeFrom="column">
                  <wp:posOffset>85090</wp:posOffset>
                </wp:positionH>
                <wp:positionV relativeFrom="paragraph">
                  <wp:posOffset>2553970</wp:posOffset>
                </wp:positionV>
                <wp:extent cx="4918710" cy="756920"/>
                <wp:effectExtent l="4445" t="2540" r="1270" b="2540"/>
                <wp:wrapNone/>
                <wp:docPr id="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5C99" w14:textId="77777777" w:rsidR="008C0FB5" w:rsidRPr="0001491C" w:rsidRDefault="008C0FB5" w:rsidP="002A0AF7">
                            <w:pPr>
                              <w:pStyle w:val="1f1"/>
                              <w:rPr>
                                <w:rFonts w:hint="cs"/>
                              </w:rPr>
                            </w:pPr>
                            <w:r>
                              <w:rPr>
                                <w:rFonts w:hint="cs"/>
                                <w:rtl/>
                              </w:rPr>
                              <w:t>(ز)</w:t>
                            </w:r>
                          </w:p>
                          <w:p w14:paraId="22110E09" w14:textId="77777777" w:rsidR="008C0FB5" w:rsidRPr="00467D50" w:rsidRDefault="008C0FB5" w:rsidP="00481D39">
                            <w:pPr>
                              <w:pStyle w:val="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2CF37" id="Text Box 160" o:spid="_x0000_s1030" type="#_x0000_t202" style="position:absolute;left:0;text-align:left;margin-left:6.7pt;margin-top:201.1pt;width:387.3pt;height:5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" filled="f" stroked="f">
                <v:textbox>
                  <w:txbxContent>
                    <w:p w14:paraId="03745C99" w14:textId="77777777" w:rsidR="008C0FB5" w:rsidRPr="0001491C" w:rsidRDefault="008C0FB5" w:rsidP="002A0AF7">
                      <w:pPr>
                        <w:pStyle w:val="1f1"/>
                        <w:rPr>
                          <w:rFonts w:hint="cs"/>
                        </w:rPr>
                      </w:pPr>
                      <w:r>
                        <w:rPr>
                          <w:rFonts w:hint="cs"/>
                          <w:rtl/>
                        </w:rPr>
                        <w:t>(ز)</w:t>
                      </w:r>
                    </w:p>
                    <w:p w14:paraId="22110E09" w14:textId="77777777" w:rsidR="008C0FB5" w:rsidRPr="00467D50" w:rsidRDefault="008C0FB5" w:rsidP="00481D39">
                      <w:pPr>
                        <w:pStyle w:val="20"/>
                      </w:pPr>
                    </w:p>
                  </w:txbxContent>
                </v:textbox>
              </v:shape>
            </w:pict>
          </mc:Fallback>
        </mc:AlternateContent>
      </w:r>
      <w:r w:rsidR="006A7EB8" w:rsidRPr="008C0FB5">
        <w:rPr>
          <w:rtl/>
        </w:rPr>
        <w:br w:type="page"/>
      </w:r>
      <w:r w:rsidRPr="008C0FB5">
        <w:rPr>
          <w:rFonts w:cs="Sultan Medium" w:hint="cs"/>
          <w:b/>
          <w:bCs/>
          <w:noProof/>
          <w:sz w:val="28"/>
          <w:szCs w:val="36"/>
        </w:rPr>
        <mc:AlternateContent>
          <mc:Choice Requires="wps">
            <w:drawing>
              <wp:anchor distT="0" distB="0" distL="114300" distR="114300" simplePos="0" relativeHeight="251652608" behindDoc="0" locked="0" layoutInCell="1" allowOverlap="1" wp14:anchorId="11F43CAA" wp14:editId="501E7793">
                <wp:simplePos x="0" y="0"/>
                <wp:positionH relativeFrom="column">
                  <wp:posOffset>-38100</wp:posOffset>
                </wp:positionH>
                <wp:positionV relativeFrom="paragraph">
                  <wp:posOffset>-841375</wp:posOffset>
                </wp:positionV>
                <wp:extent cx="5956935" cy="701675"/>
                <wp:effectExtent l="0" t="0" r="635" b="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0413B" w14:textId="77777777" w:rsidR="008C0FB5" w:rsidRDefault="008C0FB5" w:rsidP="000F53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43CAA" id="Text Box 133" o:spid="_x0000_s1031" type="#_x0000_t202" style="position:absolute;left:0;text-align:left;margin-left:-3pt;margin-top:-66.25pt;width:469.05pt;height:5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" stroked="f">
                <v:textbox>
                  <w:txbxContent>
                    <w:p w14:paraId="4EA0413B" w14:textId="77777777" w:rsidR="008C0FB5" w:rsidRDefault="008C0FB5" w:rsidP="000F53ED"/>
                  </w:txbxContent>
                </v:textbox>
              </v:shape>
            </w:pict>
          </mc:Fallback>
        </mc:AlternateContent>
      </w:r>
    </w:p>
    <w:p w14:paraId="337057CE" w14:textId="77777777" w:rsidR="005A1DB3" w:rsidRPr="008C0FB5" w:rsidRDefault="005A1DB3" w:rsidP="00155784">
      <w:pPr>
        <w:pStyle w:val="35"/>
        <w:rPr>
          <w:rtl/>
        </w:rPr>
        <w:sectPr w:rsidR="005A1DB3" w:rsidRPr="008C0FB5" w:rsidSect="005A1DB3">
          <w:footnotePr>
            <w:numRestart w:val="eachPage"/>
          </w:footnotePr>
          <w:type w:val="continuous"/>
          <w:pgSz w:w="11906" w:h="16838" w:code="9"/>
          <w:pgMar w:top="1701" w:right="1701" w:bottom="1701" w:left="1418" w:header="1418" w:footer="1418" w:gutter="0"/>
          <w:cols w:space="708"/>
          <w:titlePg/>
          <w:bidi/>
          <w:rtlGutter/>
          <w:docGrid w:linePitch="360"/>
        </w:sectPr>
      </w:pPr>
    </w:p>
    <w:p w14:paraId="77E54AFB" w14:textId="77777777" w:rsidR="005A5C98" w:rsidRPr="008C0FB5" w:rsidRDefault="005A5C98" w:rsidP="00D929C6">
      <w:pPr>
        <w:pStyle w:val="af8"/>
        <w:jc w:val="center"/>
        <w:rPr>
          <w:rFonts w:cs="Sultan Medium"/>
          <w:b w:val="0"/>
          <w:bCs/>
          <w:sz w:val="28"/>
          <w:szCs w:val="36"/>
          <w:rtl/>
          <w:lang w:bidi="ar-IQ"/>
        </w:rPr>
        <w:sectPr w:rsidR="005A5C98" w:rsidRPr="008C0FB5" w:rsidSect="00E3239A">
          <w:headerReference w:type="default" r:id="rId17"/>
          <w:footnotePr>
            <w:numRestart w:val="eachPage"/>
          </w:footnotePr>
          <w:type w:val="continuous"/>
          <w:pgSz w:w="11906" w:h="16838" w:code="9"/>
          <w:pgMar w:top="1701" w:right="1701" w:bottom="1701" w:left="1418" w:header="1418" w:footer="1418" w:gutter="0"/>
          <w:pgNumType w:start="1"/>
          <w:cols w:space="708"/>
          <w:titlePg/>
          <w:bidi/>
          <w:rtlGutter/>
          <w:docGrid w:linePitch="360"/>
        </w:sectPr>
      </w:pPr>
    </w:p>
    <w:p w14:paraId="327A7486" w14:textId="77777777" w:rsidR="0034485D" w:rsidRPr="008C0FB5" w:rsidRDefault="0034485D" w:rsidP="00D929C6">
      <w:pPr>
        <w:pStyle w:val="af8"/>
        <w:jc w:val="center"/>
        <w:rPr>
          <w:rFonts w:cs="Sultan Medium" w:hint="cs"/>
          <w:b w:val="0"/>
          <w:bCs/>
          <w:sz w:val="28"/>
          <w:szCs w:val="36"/>
          <w:lang w:bidi="ar-IQ"/>
        </w:rPr>
      </w:pPr>
    </w:p>
    <w:p w14:paraId="1ED4FD8B" w14:textId="77777777" w:rsidR="0034485D" w:rsidRPr="008C0FB5" w:rsidRDefault="0015004E" w:rsidP="002A0AF7">
      <w:pPr>
        <w:pStyle w:val="afffffff0"/>
        <w:rPr>
          <w:color w:val="auto"/>
        </w:rPr>
      </w:pPr>
      <w:r w:rsidRPr="008C0FB5">
        <w:rPr>
          <w:rFonts w:hint="cs"/>
          <w:color w:val="auto"/>
          <w:rtl/>
        </w:rPr>
        <w:t>المقدمة</w:t>
      </w:r>
    </w:p>
    <w:p w14:paraId="6C0F6E32" w14:textId="1C83AA2C" w:rsidR="0034485D" w:rsidRPr="008C0FB5" w:rsidRDefault="007C3C34" w:rsidP="00D929C6">
      <w:pPr>
        <w:pStyle w:val="af8"/>
        <w:jc w:val="center"/>
        <w:rPr>
          <w:rFonts w:cs="Sultan Medium"/>
          <w:b w:val="0"/>
          <w:bCs/>
          <w:sz w:val="28"/>
          <w:szCs w:val="36"/>
          <w:lang w:bidi="ar-IQ"/>
        </w:rPr>
      </w:pPr>
      <w:bookmarkStart w:id="11" w:name="_Toc507027901"/>
      <w:bookmarkStart w:id="12" w:name="_Toc507028181"/>
      <w:bookmarkStart w:id="13" w:name="_Toc507034082"/>
      <w:bookmarkStart w:id="14" w:name="_Toc507034315"/>
      <w:bookmarkStart w:id="15" w:name="_Toc507034551"/>
      <w:bookmarkStart w:id="16" w:name="_Toc525927312"/>
      <w:bookmarkStart w:id="17" w:name="_Toc527731651"/>
      <w:bookmarkStart w:id="18" w:name="_Toc527925233"/>
      <w:bookmarkStart w:id="19" w:name="_Toc527925584"/>
      <w:bookmarkStart w:id="20" w:name="_Toc528014696"/>
      <w:bookmarkStart w:id="21" w:name="_Toc528022548"/>
      <w:bookmarkStart w:id="22" w:name="_Toc8634637"/>
      <w:bookmarkStart w:id="23" w:name="_Toc8643620"/>
      <w:r w:rsidRPr="008C0FB5">
        <w:rPr>
          <w:noProof/>
          <w:lang w:bidi="ar-IQ"/>
        </w:rPr>
        <w:drawing>
          <wp:anchor distT="0" distB="0" distL="114300" distR="114300" simplePos="0" relativeHeight="251649536" behindDoc="0" locked="0" layoutInCell="1" allowOverlap="1" wp14:anchorId="61C7FB68" wp14:editId="2D908679">
            <wp:simplePos x="0" y="0"/>
            <wp:positionH relativeFrom="column">
              <wp:posOffset>2246630</wp:posOffset>
            </wp:positionH>
            <wp:positionV relativeFrom="paragraph">
              <wp:posOffset>295275</wp:posOffset>
            </wp:positionV>
            <wp:extent cx="1019810" cy="740410"/>
            <wp:effectExtent l="0" t="0" r="0" b="0"/>
            <wp:wrapNone/>
            <wp:docPr id="91" name="صورة 3" descr="Description: E:\طريق الطوسي\بحوث\صو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Description: E:\طريق الطوسي\بحوث\صور\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810" cy="7404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bookmarkEnd w:id="12"/>
      <w:bookmarkEnd w:id="13"/>
      <w:bookmarkEnd w:id="14"/>
      <w:bookmarkEnd w:id="15"/>
      <w:bookmarkEnd w:id="16"/>
      <w:bookmarkEnd w:id="17"/>
      <w:bookmarkEnd w:id="18"/>
      <w:bookmarkEnd w:id="19"/>
      <w:bookmarkEnd w:id="20"/>
      <w:bookmarkEnd w:id="21"/>
      <w:bookmarkEnd w:id="22"/>
      <w:bookmarkEnd w:id="23"/>
    </w:p>
    <w:p w14:paraId="270376EA" w14:textId="77777777" w:rsidR="00007798" w:rsidRPr="008C0FB5" w:rsidRDefault="00007798" w:rsidP="00D929C6">
      <w:pPr>
        <w:pStyle w:val="affffff7"/>
        <w:rPr>
          <w:color w:val="auto"/>
          <w:sz w:val="48"/>
          <w:szCs w:val="56"/>
          <w:rtl/>
          <w:lang w:bidi="ar-IQ"/>
        </w:rPr>
      </w:pPr>
      <w:bookmarkStart w:id="24" w:name="_Toc8643621"/>
      <w:r w:rsidRPr="008C0FB5">
        <w:rPr>
          <w:color w:val="auto"/>
          <w:sz w:val="48"/>
          <w:szCs w:val="56"/>
          <w:rtl/>
          <w:lang w:bidi="ar-IQ"/>
        </w:rPr>
        <w:t>المقدمة</w:t>
      </w:r>
      <w:bookmarkEnd w:id="24"/>
    </w:p>
    <w:p w14:paraId="4AF5C77F" w14:textId="77777777" w:rsidR="002144D4" w:rsidRPr="008C0FB5" w:rsidRDefault="002144D4" w:rsidP="002144D4">
      <w:pPr>
        <w:pStyle w:val="af"/>
        <w:spacing w:line="240" w:lineRule="auto"/>
        <w:ind w:firstLine="0"/>
        <w:jc w:val="center"/>
        <w:rPr>
          <w:lang w:bidi="ar-IQ"/>
        </w:rPr>
      </w:pPr>
      <w:r w:rsidRPr="008C0FB5">
        <w:rPr>
          <w:rFonts w:ascii="QCF_BSML" w:hAnsi="QCF_BSML" w:cs="QCF_BSML"/>
          <w:sz w:val="36"/>
          <w:szCs w:val="36"/>
          <w:rtl/>
          <w:lang w:bidi="ar-IQ"/>
        </w:rPr>
        <w:t>ﭑ ﭒ ﭓ</w:t>
      </w:r>
    </w:p>
    <w:p w14:paraId="51F340D5" w14:textId="77777777" w:rsidR="00AA00E3" w:rsidRPr="008C0FB5" w:rsidRDefault="00AA00E3" w:rsidP="00155784">
      <w:pPr>
        <w:pStyle w:val="35"/>
        <w:rPr>
          <w:rFonts w:hint="cs"/>
          <w:rtl/>
        </w:rPr>
      </w:pPr>
    </w:p>
    <w:p w14:paraId="7C0B0238" w14:textId="77777777" w:rsidR="009B7F7B" w:rsidRPr="008C0FB5" w:rsidRDefault="009B7F7B" w:rsidP="009B7F7B">
      <w:pPr>
        <w:pStyle w:val="affffffd"/>
      </w:pPr>
      <w:r w:rsidRPr="008C0FB5">
        <w:rPr>
          <w:rFonts w:hint="cs"/>
          <w:rtl/>
        </w:rPr>
        <w:t>التمهيد:</w:t>
      </w:r>
    </w:p>
    <w:p w14:paraId="4D610C30" w14:textId="77777777" w:rsidR="009B7F7B" w:rsidRPr="008C0FB5" w:rsidRDefault="009B7F7B" w:rsidP="001C1CE8">
      <w:pPr>
        <w:pStyle w:val="48"/>
        <w:rPr>
          <w:rFonts w:hint="cs"/>
          <w:rtl/>
        </w:rPr>
      </w:pPr>
      <w:r w:rsidRPr="008C0FB5">
        <w:rPr>
          <w:rFonts w:hint="cs"/>
          <w:rtl/>
        </w:rPr>
        <w:t xml:space="preserve">الحمد لله الذي جعل الكمال كله في التفقه في </w:t>
      </w:r>
      <w:proofErr w:type="gramStart"/>
      <w:r w:rsidRPr="008C0FB5">
        <w:rPr>
          <w:rFonts w:hint="cs"/>
          <w:rtl/>
        </w:rPr>
        <w:t>الدين ,</w:t>
      </w:r>
      <w:proofErr w:type="gramEnd"/>
      <w:r w:rsidRPr="008C0FB5">
        <w:rPr>
          <w:rFonts w:hint="cs"/>
          <w:rtl/>
        </w:rPr>
        <w:t xml:space="preserve"> وجعل التفقه في الدين طريقا الى امتثال أوامره ونواهيه, ومفتاحا للدخول الى جنة رضاه , ونيل مثوباته ومواعيده.</w:t>
      </w:r>
    </w:p>
    <w:p w14:paraId="1F1D725E" w14:textId="77777777" w:rsidR="009B7F7B" w:rsidRPr="008C0FB5" w:rsidRDefault="009B7F7B" w:rsidP="009B7F7B">
      <w:pPr>
        <w:pStyle w:val="35"/>
        <w:rPr>
          <w:rFonts w:hint="cs"/>
          <w:rtl/>
        </w:rPr>
      </w:pPr>
      <w:r w:rsidRPr="008C0FB5">
        <w:rPr>
          <w:rFonts w:hint="cs"/>
          <w:rtl/>
        </w:rPr>
        <w:t xml:space="preserve">والصلاة والسلام على الهادي الى الطريقة المثلى والمبشر بالسعادة </w:t>
      </w:r>
      <w:proofErr w:type="gramStart"/>
      <w:r w:rsidRPr="008C0FB5">
        <w:rPr>
          <w:rFonts w:hint="cs"/>
          <w:rtl/>
        </w:rPr>
        <w:t>العظمى  الداعي</w:t>
      </w:r>
      <w:proofErr w:type="gramEnd"/>
      <w:r w:rsidRPr="008C0FB5">
        <w:rPr>
          <w:rFonts w:hint="cs"/>
          <w:rtl/>
        </w:rPr>
        <w:t xml:space="preserve"> الى سبيل الله بالحكمة  والموعظة الحسنة وعلى آله مصابيح الدجى والحجج الواضحة , وأصحابه المنتجبين الاطهار  ومن تبعه الى يوم الدين وسلم تسليما .</w:t>
      </w:r>
    </w:p>
    <w:p w14:paraId="47B94D53" w14:textId="77777777" w:rsidR="009B7F7B" w:rsidRPr="008C0FB5" w:rsidRDefault="009B7F7B" w:rsidP="009B7F7B">
      <w:pPr>
        <w:pStyle w:val="affffffd"/>
        <w:rPr>
          <w:rFonts w:hint="cs"/>
          <w:rtl/>
        </w:rPr>
      </w:pPr>
      <w:r w:rsidRPr="008C0FB5">
        <w:rPr>
          <w:rFonts w:hint="cs"/>
          <w:rtl/>
        </w:rPr>
        <w:t>أهمية موضوع البحث:</w:t>
      </w:r>
    </w:p>
    <w:p w14:paraId="2AD84671" w14:textId="77777777" w:rsidR="009B7F7B" w:rsidRPr="008C0FB5" w:rsidRDefault="009B7F7B" w:rsidP="009B7F7B">
      <w:pPr>
        <w:pStyle w:val="48"/>
        <w:rPr>
          <w:rFonts w:hint="cs"/>
          <w:rtl/>
        </w:rPr>
      </w:pPr>
      <w:r w:rsidRPr="008C0FB5">
        <w:rPr>
          <w:rFonts w:hint="cs"/>
          <w:rtl/>
        </w:rPr>
        <w:t xml:space="preserve">وبعد فان موضوع الباعث موضوع ممتع وصعب في آن واحد كونه أمرا نفسياً ذاتيا متغيرا بتغير الاشخاص والعقود ولكن هذا لا يقلل من أهميته ذلك انه يعتبر الاداة الفعالة لكبح جماح سلطان الارادة والحفاظ على المصالح العليا للمجتمع فهو يعبر عن سمو </w:t>
      </w:r>
      <w:proofErr w:type="gramStart"/>
      <w:r w:rsidRPr="008C0FB5">
        <w:rPr>
          <w:rFonts w:hint="cs"/>
          <w:rtl/>
        </w:rPr>
        <w:t>كيانه  وتأكيد</w:t>
      </w:r>
      <w:proofErr w:type="gramEnd"/>
      <w:r w:rsidRPr="008C0FB5">
        <w:rPr>
          <w:rFonts w:hint="cs"/>
          <w:rtl/>
        </w:rPr>
        <w:t xml:space="preserve"> قويه وثباته أزاء نزعات بعض الافراد التي تتمثل في عقود يبرمونها يبغون من  ورائها أغراضا تهدد أسس المجتمع بالخطر , ومن ثم تتمثل فكرة الباعث في هذا المجال على أنها أداة في يد القضاء يمنع به الارادة من ان تحاول النيل من المصالح الاساسية للمجتمع.</w:t>
      </w:r>
    </w:p>
    <w:p w14:paraId="461315FF" w14:textId="77777777" w:rsidR="009B7F7B" w:rsidRPr="008C0FB5" w:rsidRDefault="009B7F7B" w:rsidP="009B7F7B">
      <w:pPr>
        <w:pStyle w:val="affffffd"/>
        <w:rPr>
          <w:rFonts w:hint="cs"/>
          <w:rtl/>
        </w:rPr>
      </w:pPr>
      <w:r w:rsidRPr="008C0FB5">
        <w:rPr>
          <w:rFonts w:hint="cs"/>
          <w:rtl/>
        </w:rPr>
        <w:t>أسباب اختيارنا موضوع البحث :</w:t>
      </w:r>
    </w:p>
    <w:p w14:paraId="653FB346" w14:textId="77777777" w:rsidR="009B7F7B" w:rsidRPr="008C0FB5" w:rsidRDefault="009B7F7B" w:rsidP="009B7F7B">
      <w:pPr>
        <w:pStyle w:val="48"/>
        <w:rPr>
          <w:rFonts w:hint="cs"/>
          <w:rtl/>
        </w:rPr>
      </w:pPr>
      <w:r w:rsidRPr="008C0FB5">
        <w:rPr>
          <w:rFonts w:hint="cs"/>
          <w:rtl/>
        </w:rPr>
        <w:t xml:space="preserve">ان الاسباب الموجبة لاختيار موضوع البحث والدراسة كثيرة </w:t>
      </w:r>
      <w:proofErr w:type="gramStart"/>
      <w:r w:rsidRPr="008C0FB5">
        <w:rPr>
          <w:rFonts w:hint="cs"/>
          <w:rtl/>
        </w:rPr>
        <w:t>أهمها :</w:t>
      </w:r>
      <w:proofErr w:type="gramEnd"/>
      <w:r w:rsidRPr="008C0FB5">
        <w:rPr>
          <w:rFonts w:hint="cs"/>
          <w:rtl/>
        </w:rPr>
        <w:t>-</w:t>
      </w:r>
    </w:p>
    <w:p w14:paraId="57CD63E3" w14:textId="77777777" w:rsidR="009B7F7B" w:rsidRPr="008C0FB5" w:rsidRDefault="009B7F7B" w:rsidP="009B2919">
      <w:pPr>
        <w:pStyle w:val="48"/>
        <w:numPr>
          <w:ilvl w:val="0"/>
          <w:numId w:val="8"/>
        </w:numPr>
        <w:rPr>
          <w:rFonts w:hint="cs"/>
          <w:rtl/>
        </w:rPr>
      </w:pPr>
      <w:r w:rsidRPr="008C0FB5">
        <w:rPr>
          <w:rFonts w:hint="cs"/>
          <w:rtl/>
        </w:rPr>
        <w:t>ابتعاد الناس عما ذهبت اليه الشريعة الاسلامية وفساد المجتمعات مما أدى الى استخدام الحيل والوسائل المشروعة لتحقيق أغراضهم الشخصية غير المشروعة.</w:t>
      </w:r>
    </w:p>
    <w:p w14:paraId="7D7DE509" w14:textId="77777777" w:rsidR="009B7F7B" w:rsidRPr="008C0FB5" w:rsidRDefault="009B7F7B" w:rsidP="009B2919">
      <w:pPr>
        <w:pStyle w:val="48"/>
        <w:numPr>
          <w:ilvl w:val="0"/>
          <w:numId w:val="8"/>
        </w:numPr>
        <w:rPr>
          <w:rFonts w:hint="cs"/>
          <w:rtl/>
        </w:rPr>
      </w:pPr>
      <w:r w:rsidRPr="008C0FB5">
        <w:rPr>
          <w:rFonts w:hint="cs"/>
          <w:rtl/>
        </w:rPr>
        <w:t xml:space="preserve">تطور الحياة الاقتصادية وتعقدها وكثرة الاغراض غير المشروعة التي يمكن التوصل </w:t>
      </w:r>
      <w:r w:rsidRPr="008C0FB5">
        <w:rPr>
          <w:rFonts w:hint="cs"/>
          <w:rtl/>
        </w:rPr>
        <w:lastRenderedPageBreak/>
        <w:t xml:space="preserve">اليها بوسائل </w:t>
      </w:r>
      <w:proofErr w:type="gramStart"/>
      <w:r w:rsidRPr="008C0FB5">
        <w:rPr>
          <w:rFonts w:hint="cs"/>
          <w:rtl/>
        </w:rPr>
        <w:t>مشروعة .</w:t>
      </w:r>
      <w:proofErr w:type="gramEnd"/>
      <w:r w:rsidRPr="008C0FB5">
        <w:rPr>
          <w:rFonts w:hint="cs"/>
          <w:rtl/>
        </w:rPr>
        <w:t xml:space="preserve"> </w:t>
      </w:r>
    </w:p>
    <w:p w14:paraId="61C887D9" w14:textId="77777777" w:rsidR="009B7F7B" w:rsidRPr="008C0FB5" w:rsidRDefault="009B7F7B" w:rsidP="009B2919">
      <w:pPr>
        <w:pStyle w:val="48"/>
        <w:numPr>
          <w:ilvl w:val="0"/>
          <w:numId w:val="8"/>
        </w:numPr>
        <w:rPr>
          <w:rFonts w:hint="cs"/>
          <w:rtl/>
        </w:rPr>
      </w:pPr>
      <w:r w:rsidRPr="008C0FB5">
        <w:rPr>
          <w:rFonts w:hint="cs"/>
          <w:rtl/>
        </w:rPr>
        <w:t xml:space="preserve">توظيف المفاهيم التي صاغها الفقه الاسلامي لخدمة التوجهات القانونية التي </w:t>
      </w:r>
      <w:proofErr w:type="gramStart"/>
      <w:r w:rsidRPr="008C0FB5">
        <w:rPr>
          <w:rFonts w:hint="cs"/>
          <w:rtl/>
        </w:rPr>
        <w:t>أقرتها  الحياة</w:t>
      </w:r>
      <w:proofErr w:type="gramEnd"/>
      <w:r w:rsidRPr="008C0FB5">
        <w:rPr>
          <w:rFonts w:hint="cs"/>
          <w:rtl/>
        </w:rPr>
        <w:t xml:space="preserve"> الاجتماعية المعاصرة وتقديم العطاء النظري لها كلما كانت التوجهات محققة لاهداف عادلة مشروعة اجتماعيا .</w:t>
      </w:r>
    </w:p>
    <w:p w14:paraId="65107A27" w14:textId="77777777" w:rsidR="009B7F7B" w:rsidRPr="008C0FB5" w:rsidRDefault="009B7F7B" w:rsidP="009B7F7B">
      <w:pPr>
        <w:pStyle w:val="35"/>
        <w:rPr>
          <w:rFonts w:hint="cs"/>
          <w:rtl/>
        </w:rPr>
      </w:pPr>
      <w:r w:rsidRPr="008C0FB5">
        <w:rPr>
          <w:rFonts w:hint="cs"/>
          <w:rtl/>
        </w:rPr>
        <w:t xml:space="preserve">ولهذه الاسباب السالفة كان اختيارنا لهذا الموضوع الذي بقي زمنا ليس بالقصير هو </w:t>
      </w:r>
      <w:proofErr w:type="gramStart"/>
      <w:r w:rsidRPr="008C0FB5">
        <w:rPr>
          <w:rFonts w:hint="cs"/>
          <w:rtl/>
        </w:rPr>
        <w:t>من  سلطة</w:t>
      </w:r>
      <w:proofErr w:type="gramEnd"/>
      <w:r w:rsidRPr="008C0FB5">
        <w:rPr>
          <w:rFonts w:hint="cs"/>
          <w:rtl/>
        </w:rPr>
        <w:t xml:space="preserve"> القضاء فمن تأثر بالسبب القصدي طبقه ومن كان ذا نظرة أوسع فنظر الى السبب بأنه الباعث , لم يترك نظرته جانبا بل طبقها كما أراد ولذلك جاءت هذه الدراسة دراسة قانونية </w:t>
      </w:r>
      <w:r w:rsidRPr="008C0FB5">
        <w:rPr>
          <w:rFonts w:ascii="Times New Roman" w:hAnsi="Times New Roman" w:cs="Times New Roman" w:hint="cs"/>
          <w:rtl/>
        </w:rPr>
        <w:t>–</w:t>
      </w:r>
      <w:r w:rsidRPr="008C0FB5">
        <w:rPr>
          <w:rFonts w:hint="cs"/>
          <w:rtl/>
        </w:rPr>
        <w:t xml:space="preserve"> فقهية مفصلة للوقوف على ما هو مناسب لمجتمع اسلامي كالمجتمع العربي بشكل عام والعراقي بشكل خاص .</w:t>
      </w:r>
    </w:p>
    <w:p w14:paraId="442B20B4" w14:textId="77777777" w:rsidR="009B7F7B" w:rsidRPr="008C0FB5" w:rsidRDefault="009B7F7B" w:rsidP="009B7F7B">
      <w:pPr>
        <w:pStyle w:val="affffffd"/>
        <w:rPr>
          <w:rFonts w:hint="cs"/>
          <w:rtl/>
        </w:rPr>
      </w:pPr>
      <w:r w:rsidRPr="008C0FB5">
        <w:rPr>
          <w:rFonts w:hint="cs"/>
          <w:rtl/>
        </w:rPr>
        <w:t>مشكلة البحث :</w:t>
      </w:r>
    </w:p>
    <w:p w14:paraId="459280DE" w14:textId="77777777" w:rsidR="009B7F7B" w:rsidRPr="008C0FB5" w:rsidRDefault="009B7F7B" w:rsidP="009B7F7B">
      <w:pPr>
        <w:pStyle w:val="48"/>
        <w:rPr>
          <w:rFonts w:hint="cs"/>
          <w:rtl/>
        </w:rPr>
      </w:pPr>
      <w:r w:rsidRPr="008C0FB5">
        <w:rPr>
          <w:rFonts w:hint="cs"/>
          <w:rtl/>
        </w:rPr>
        <w:t xml:space="preserve">ان مفهوم السببية من المسائل الشائكة تجلب اليها الانظار وتغرى كل من العالم والغر </w:t>
      </w:r>
      <w:proofErr w:type="gramStart"/>
      <w:r w:rsidRPr="008C0FB5">
        <w:rPr>
          <w:rFonts w:hint="cs"/>
          <w:rtl/>
        </w:rPr>
        <w:t>الجاهل ,</w:t>
      </w:r>
      <w:proofErr w:type="gramEnd"/>
      <w:r w:rsidRPr="008C0FB5">
        <w:rPr>
          <w:rFonts w:hint="cs"/>
          <w:rtl/>
        </w:rPr>
        <w:t xml:space="preserve"> لان يدلو ويقول فيها كلمته فلها بريق أخاذ يجلب الباحث اليها بخطى سريعة  حتى يصل الى السراب الذي يحسبه الضمان ماء .</w:t>
      </w:r>
    </w:p>
    <w:p w14:paraId="20669892" w14:textId="77777777" w:rsidR="009B7F7B" w:rsidRPr="008C0FB5" w:rsidRDefault="009B7F7B" w:rsidP="009B7F7B">
      <w:pPr>
        <w:pStyle w:val="35"/>
        <w:rPr>
          <w:rFonts w:hint="cs"/>
          <w:rtl/>
        </w:rPr>
      </w:pPr>
      <w:r w:rsidRPr="008C0FB5">
        <w:rPr>
          <w:rFonts w:hint="cs"/>
          <w:rtl/>
        </w:rPr>
        <w:t xml:space="preserve">فسبب العقد لو ترك دون بحث فهو واضح كل </w:t>
      </w:r>
      <w:proofErr w:type="gramStart"/>
      <w:r w:rsidRPr="008C0FB5">
        <w:rPr>
          <w:rFonts w:hint="cs"/>
          <w:rtl/>
        </w:rPr>
        <w:t>الوضوح ,</w:t>
      </w:r>
      <w:proofErr w:type="gramEnd"/>
      <w:r w:rsidRPr="008C0FB5">
        <w:rPr>
          <w:rFonts w:hint="cs"/>
          <w:rtl/>
        </w:rPr>
        <w:t xml:space="preserve"> فمن ذا الذي لا يعرف لماذا اشترى طعامه ؟ أو لماذا باع محصول زراعة </w:t>
      </w:r>
      <w:proofErr w:type="gramStart"/>
      <w:r w:rsidRPr="008C0FB5">
        <w:rPr>
          <w:rFonts w:hint="cs"/>
          <w:rtl/>
        </w:rPr>
        <w:t>أرضه ؟</w:t>
      </w:r>
      <w:proofErr w:type="gramEnd"/>
      <w:r w:rsidRPr="008C0FB5">
        <w:rPr>
          <w:rFonts w:hint="cs"/>
          <w:rtl/>
        </w:rPr>
        <w:t xml:space="preserve"> سؤال يمكن الاجابة عليه </w:t>
      </w:r>
      <w:proofErr w:type="gramStart"/>
      <w:r w:rsidRPr="008C0FB5">
        <w:rPr>
          <w:rFonts w:hint="cs"/>
          <w:rtl/>
        </w:rPr>
        <w:t>بكلمات ,</w:t>
      </w:r>
      <w:proofErr w:type="gramEnd"/>
      <w:r w:rsidRPr="008C0FB5">
        <w:rPr>
          <w:rFonts w:hint="cs"/>
          <w:rtl/>
        </w:rPr>
        <w:t xml:space="preserve"> وقد يعجز الباحث عن ان يحصر الاجابة عليه في عدة مجلدات .</w:t>
      </w:r>
    </w:p>
    <w:p w14:paraId="1AF7DD4D" w14:textId="77777777" w:rsidR="009B7F7B" w:rsidRPr="008C0FB5" w:rsidRDefault="009B7F7B" w:rsidP="009B7F7B">
      <w:pPr>
        <w:pStyle w:val="35"/>
        <w:rPr>
          <w:rFonts w:hint="cs"/>
          <w:rtl/>
        </w:rPr>
      </w:pPr>
      <w:r w:rsidRPr="008C0FB5">
        <w:rPr>
          <w:rFonts w:hint="cs"/>
          <w:rtl/>
        </w:rPr>
        <w:t xml:space="preserve">فالسبب في مسالة السببية على </w:t>
      </w:r>
      <w:proofErr w:type="gramStart"/>
      <w:r w:rsidRPr="008C0FB5">
        <w:rPr>
          <w:rFonts w:hint="cs"/>
          <w:rtl/>
        </w:rPr>
        <w:t>العموم ,</w:t>
      </w:r>
      <w:proofErr w:type="gramEnd"/>
      <w:r w:rsidRPr="008C0FB5">
        <w:rPr>
          <w:rFonts w:hint="cs"/>
          <w:rtl/>
        </w:rPr>
        <w:t xml:space="preserve"> هي ولاشك مالة فلسفية محضة  , شانها شأن البحث في أية مسألة فلسفية يبدأ الباحث بسؤال وينتهي بالاجابة عليه بمائة سؤال .</w:t>
      </w:r>
    </w:p>
    <w:p w14:paraId="31F198A8" w14:textId="77777777" w:rsidR="009B7F7B" w:rsidRPr="008C0FB5" w:rsidRDefault="009B7F7B" w:rsidP="009B7F7B">
      <w:pPr>
        <w:pStyle w:val="35"/>
        <w:rPr>
          <w:rFonts w:hint="cs"/>
          <w:rtl/>
        </w:rPr>
      </w:pPr>
      <w:r w:rsidRPr="008C0FB5">
        <w:rPr>
          <w:rFonts w:hint="cs"/>
          <w:rtl/>
        </w:rPr>
        <w:t>فمنذ زمن ليس بالقصير , والدراسة والبحث عن سبب العقد بتوالي ودون توقف , دون ان يؤدي كل ذلك الى الاستقرا ر على رأي محدد لمفهوم السبب , بل ان الاراء في هذه الدراسات تثير الدهشة في تغايرها واختلافها ولئن كان اي باحث في سبب العقد يستحق التجاوز عن خطأه , فان ذلك لن يكون الا لان قصده شريف , ودافعه هو محاولة التقدم ولو خطوة واحدة على طريق العدالة الطويل ومحاولة وضع حل  من الحلول لمسالة التنازع على الحقوق , لما تفضي اليه المبادلات التي هي عماد حياة المجتمع  البشري من نزاعات , بدلا من ان تكون أداة خدمة الافراد في مبادلاتهم والتي هي حتمية لاستمرار حياتهم .</w:t>
      </w:r>
    </w:p>
    <w:p w14:paraId="1C7A3C07" w14:textId="77777777" w:rsidR="009B7F7B" w:rsidRPr="008C0FB5" w:rsidRDefault="009B7F7B" w:rsidP="009B7F7B">
      <w:pPr>
        <w:pStyle w:val="35"/>
        <w:rPr>
          <w:rFonts w:hint="cs"/>
          <w:rtl/>
        </w:rPr>
      </w:pPr>
      <w:r w:rsidRPr="008C0FB5">
        <w:rPr>
          <w:rFonts w:hint="cs"/>
          <w:rtl/>
        </w:rPr>
        <w:t xml:space="preserve">وفي رأينا ان صعوبة تحديد مفهوم دقيق لسبب </w:t>
      </w:r>
      <w:proofErr w:type="gramStart"/>
      <w:r w:rsidRPr="008C0FB5">
        <w:rPr>
          <w:rFonts w:hint="cs"/>
          <w:rtl/>
        </w:rPr>
        <w:t>العقد  هو</w:t>
      </w:r>
      <w:proofErr w:type="gramEnd"/>
      <w:r w:rsidRPr="008C0FB5">
        <w:rPr>
          <w:rFonts w:hint="cs"/>
          <w:rtl/>
        </w:rPr>
        <w:t xml:space="preserve"> في قصر هؤلاء الكتاب فكرهم  على القانون الفرنسي والقضاء فيه اذ ان اغلب القوانين العربية كانت  قد استمدت أحكام قوانينها بشكل عام والقانون المدني بشكل خاص من القانون الفرنسي, ولم يقف  الامر عند هذا الحد بل تتبعوه أيضا في  أحكامه القضائية .</w:t>
      </w:r>
    </w:p>
    <w:p w14:paraId="185D879A" w14:textId="77777777" w:rsidR="009B7F7B" w:rsidRPr="008C0FB5" w:rsidRDefault="009B7F7B" w:rsidP="009B7F7B">
      <w:pPr>
        <w:pStyle w:val="affffffd"/>
        <w:rPr>
          <w:rFonts w:hint="cs"/>
          <w:rtl/>
        </w:rPr>
      </w:pPr>
      <w:r w:rsidRPr="008C0FB5">
        <w:rPr>
          <w:rFonts w:hint="cs"/>
          <w:rtl/>
        </w:rPr>
        <w:t>منهجية البحث:</w:t>
      </w:r>
    </w:p>
    <w:p w14:paraId="5727D51E" w14:textId="77777777" w:rsidR="009B7F7B" w:rsidRPr="008C0FB5" w:rsidRDefault="009B7F7B" w:rsidP="009B2919">
      <w:pPr>
        <w:pStyle w:val="48"/>
        <w:numPr>
          <w:ilvl w:val="0"/>
          <w:numId w:val="7"/>
        </w:numPr>
        <w:rPr>
          <w:rFonts w:hint="cs"/>
          <w:rtl/>
        </w:rPr>
      </w:pPr>
      <w:r w:rsidRPr="008C0FB5">
        <w:rPr>
          <w:rFonts w:hint="cs"/>
          <w:rtl/>
        </w:rPr>
        <w:t xml:space="preserve">لقد اعتمدنا في دراستنا لموضوع الباعث على التعاقد طريقة المقارنة بين فقهاء المذاهب الاسلامية الاساسية الخمسة مع مقارنتها بموقف بعض القوانين الوضعية العربية </w:t>
      </w:r>
      <w:proofErr w:type="gramStart"/>
      <w:r w:rsidRPr="008C0FB5">
        <w:rPr>
          <w:rFonts w:hint="cs"/>
          <w:rtl/>
        </w:rPr>
        <w:lastRenderedPageBreak/>
        <w:t>والاجنبية ,</w:t>
      </w:r>
      <w:proofErr w:type="gramEnd"/>
      <w:r w:rsidRPr="008C0FB5">
        <w:rPr>
          <w:rFonts w:hint="cs"/>
          <w:rtl/>
        </w:rPr>
        <w:t xml:space="preserve"> معززة بالاحكام القضائية التي استطعنا الحصول عليها فكانت هذه الدراسة فقهية قانونية مقارنة .</w:t>
      </w:r>
    </w:p>
    <w:p w14:paraId="2E27C640" w14:textId="77777777" w:rsidR="009B7F7B" w:rsidRPr="008C0FB5" w:rsidRDefault="009B7F7B" w:rsidP="009B2919">
      <w:pPr>
        <w:pStyle w:val="48"/>
        <w:numPr>
          <w:ilvl w:val="0"/>
          <w:numId w:val="7"/>
        </w:numPr>
        <w:rPr>
          <w:rFonts w:hint="cs"/>
          <w:rtl/>
        </w:rPr>
      </w:pPr>
      <w:r w:rsidRPr="008C0FB5">
        <w:rPr>
          <w:rFonts w:hint="cs"/>
          <w:rtl/>
        </w:rPr>
        <w:t xml:space="preserve">حاولنا في هذه الدراسة المقارنة استعراض الاراء اولا ثم بيان أدلتها ثم مناقشتها ثم ترجيح ما ظهر لنا صحته لاسباب ذكرناها في </w:t>
      </w:r>
      <w:proofErr w:type="gramStart"/>
      <w:r w:rsidRPr="008C0FB5">
        <w:rPr>
          <w:rFonts w:hint="cs"/>
          <w:rtl/>
        </w:rPr>
        <w:t>محلها  .</w:t>
      </w:r>
      <w:proofErr w:type="gramEnd"/>
    </w:p>
    <w:p w14:paraId="46ED63BC" w14:textId="77777777" w:rsidR="009B7F7B" w:rsidRPr="008C0FB5" w:rsidRDefault="009B7F7B" w:rsidP="009B2919">
      <w:pPr>
        <w:pStyle w:val="48"/>
        <w:numPr>
          <w:ilvl w:val="0"/>
          <w:numId w:val="7"/>
        </w:numPr>
        <w:rPr>
          <w:rFonts w:hint="cs"/>
          <w:rtl/>
        </w:rPr>
      </w:pPr>
      <w:r w:rsidRPr="008C0FB5">
        <w:rPr>
          <w:rFonts w:hint="cs"/>
          <w:rtl/>
        </w:rPr>
        <w:t xml:space="preserve">اقترحنا في الخاتمة بعض المقترحات التي تصلح ان تكون اساسا لبعض التعديلات الاساسية التي يقوم بها المشرع في الحال </w:t>
      </w:r>
      <w:proofErr w:type="gramStart"/>
      <w:r w:rsidRPr="008C0FB5">
        <w:rPr>
          <w:rFonts w:hint="cs"/>
          <w:rtl/>
        </w:rPr>
        <w:t>والاستقبال .</w:t>
      </w:r>
      <w:proofErr w:type="gramEnd"/>
    </w:p>
    <w:p w14:paraId="1C17FF03" w14:textId="77777777" w:rsidR="009B7F7B" w:rsidRPr="008C0FB5" w:rsidRDefault="009B7F7B" w:rsidP="009B7F7B">
      <w:pPr>
        <w:pStyle w:val="affffffd"/>
        <w:rPr>
          <w:rFonts w:hint="cs"/>
          <w:rtl/>
        </w:rPr>
      </w:pPr>
      <w:r w:rsidRPr="008C0FB5">
        <w:rPr>
          <w:rFonts w:hint="cs"/>
          <w:rtl/>
        </w:rPr>
        <w:t>خطة البحث:</w:t>
      </w:r>
    </w:p>
    <w:p w14:paraId="5F9ED627" w14:textId="77777777" w:rsidR="009B7F7B" w:rsidRPr="008C0FB5" w:rsidRDefault="009B7F7B" w:rsidP="009B7F7B">
      <w:pPr>
        <w:pStyle w:val="48"/>
        <w:rPr>
          <w:rFonts w:hint="cs"/>
          <w:rtl/>
        </w:rPr>
      </w:pPr>
      <w:r w:rsidRPr="008C0FB5">
        <w:rPr>
          <w:rFonts w:hint="cs"/>
          <w:rtl/>
        </w:rPr>
        <w:t xml:space="preserve">ان ما يتمتع به الباعث من أهمية هو الذي دفعني الى ان اشق غمار هذا البحث على دقته </w:t>
      </w:r>
      <w:proofErr w:type="gramStart"/>
      <w:r w:rsidRPr="008C0FB5">
        <w:rPr>
          <w:rFonts w:hint="cs"/>
          <w:rtl/>
        </w:rPr>
        <w:t>وصعوبته ,</w:t>
      </w:r>
      <w:proofErr w:type="gramEnd"/>
      <w:r w:rsidRPr="008C0FB5">
        <w:rPr>
          <w:rFonts w:hint="cs"/>
          <w:rtl/>
        </w:rPr>
        <w:t xml:space="preserve"> فما كان بي الا اللجوء الى الدراسات الفقهية المتخصصة القديمة منها  والحديثة والدراسات القانونية التي ظهرت في ظل القوانين الغربية منها والعربية على حد سواء.</w:t>
      </w:r>
    </w:p>
    <w:p w14:paraId="6B8A7B9E" w14:textId="77777777" w:rsidR="00D260D1" w:rsidRPr="008C0FB5" w:rsidRDefault="009B7F7B" w:rsidP="009B7F7B">
      <w:pPr>
        <w:pStyle w:val="35"/>
        <w:rPr>
          <w:rtl/>
        </w:rPr>
      </w:pPr>
      <w:r w:rsidRPr="008C0FB5">
        <w:rPr>
          <w:rFonts w:hint="cs"/>
          <w:rtl/>
        </w:rPr>
        <w:t xml:space="preserve">وللطبيعة المتميزة لموضوع البحث فقد وزعنا دراسته الى المقدمة المذكورة واربعة </w:t>
      </w:r>
      <w:proofErr w:type="gramStart"/>
      <w:r w:rsidRPr="008C0FB5">
        <w:rPr>
          <w:rFonts w:hint="cs"/>
          <w:rtl/>
        </w:rPr>
        <w:t>فصول ,</w:t>
      </w:r>
      <w:proofErr w:type="gramEnd"/>
      <w:r w:rsidRPr="008C0FB5">
        <w:rPr>
          <w:rFonts w:hint="cs"/>
          <w:rtl/>
        </w:rPr>
        <w:t xml:space="preserve"> تناولنا في الاول التعريف بنظرية الباعث وصلتها بغيرها من القوانين اما الثاني فقد تناولنا فيه احكام نظرية الباعث وخصصنا الثالث لبحث نظرية الباعث في الفقه الاسلامي وافردنا الرابع لبحث نظرية الباعث في بعض النظم القانونية الوضعية وانهينا بحثنا بخاتمة تتضمن أهم النتائج والمقترحات التي توصلنا اليها</w:t>
      </w:r>
      <w:r w:rsidR="00E44FCC" w:rsidRPr="008C0FB5">
        <w:rPr>
          <w:rtl/>
        </w:rPr>
        <w:t xml:space="preserve">. </w:t>
      </w:r>
    </w:p>
    <w:p w14:paraId="3AB55A5B" w14:textId="77777777" w:rsidR="00646EE2" w:rsidRPr="008C0FB5" w:rsidRDefault="00646EE2" w:rsidP="00155784">
      <w:pPr>
        <w:pStyle w:val="35"/>
        <w:rPr>
          <w:rtl/>
        </w:rPr>
      </w:pPr>
    </w:p>
    <w:p w14:paraId="5A581592" w14:textId="77777777" w:rsidR="00646EE2" w:rsidRPr="008C0FB5" w:rsidRDefault="00646EE2" w:rsidP="00155784">
      <w:pPr>
        <w:pStyle w:val="35"/>
        <w:rPr>
          <w:rtl/>
        </w:rPr>
        <w:sectPr w:rsidR="00646EE2" w:rsidRPr="008C0FB5" w:rsidSect="00E3239A">
          <w:headerReference w:type="even" r:id="rId19"/>
          <w:headerReference w:type="default" r:id="rId20"/>
          <w:footnotePr>
            <w:numRestart w:val="eachPage"/>
          </w:footnotePr>
          <w:type w:val="continuous"/>
          <w:pgSz w:w="11906" w:h="16838" w:code="9"/>
          <w:pgMar w:top="1701" w:right="1701" w:bottom="1701" w:left="1418" w:header="1418" w:footer="1418" w:gutter="0"/>
          <w:pgNumType w:start="1"/>
          <w:cols w:space="708"/>
          <w:titlePg/>
          <w:bidi/>
          <w:rtlGutter/>
          <w:docGrid w:linePitch="360"/>
        </w:sectPr>
      </w:pPr>
    </w:p>
    <w:p w14:paraId="00406AF1" w14:textId="0ADE8E08" w:rsidR="00007798" w:rsidRPr="008C0FB5" w:rsidRDefault="007C3C34" w:rsidP="00155784">
      <w:pPr>
        <w:pStyle w:val="35"/>
        <w:rPr>
          <w:rtl/>
        </w:rPr>
      </w:pPr>
      <w:r w:rsidRPr="008C0FB5">
        <w:rPr>
          <w:noProof/>
          <w:rtl/>
        </w:rPr>
        <w:lastRenderedPageBreak/>
        <w:drawing>
          <wp:anchor distT="0" distB="0" distL="114300" distR="114300" simplePos="0" relativeHeight="251650560" behindDoc="1" locked="0" layoutInCell="1" allowOverlap="1" wp14:anchorId="5004A0B8" wp14:editId="63D559B0">
            <wp:simplePos x="0" y="0"/>
            <wp:positionH relativeFrom="margin">
              <wp:posOffset>13970</wp:posOffset>
            </wp:positionH>
            <wp:positionV relativeFrom="page">
              <wp:posOffset>1076325</wp:posOffset>
            </wp:positionV>
            <wp:extent cx="5629910" cy="8534400"/>
            <wp:effectExtent l="0" t="0" r="0" b="0"/>
            <wp:wrapNone/>
            <wp:docPr id="130" name="Picture 29" descr="0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_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910" cy="853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35E6A" w14:textId="77777777" w:rsidR="00481D39" w:rsidRDefault="00481D39" w:rsidP="00F63793">
      <w:pPr>
        <w:pStyle w:val="20"/>
        <w:rPr>
          <w:rFonts w:hint="cs"/>
          <w:rtl/>
        </w:rPr>
      </w:pPr>
      <w:bookmarkStart w:id="25" w:name="_Toc437622342"/>
      <w:bookmarkStart w:id="26" w:name="_Toc505372616"/>
    </w:p>
    <w:p w14:paraId="1359F190" w14:textId="77777777" w:rsidR="00F63793" w:rsidRDefault="00F63793" w:rsidP="00F63793">
      <w:pPr>
        <w:pStyle w:val="20"/>
        <w:rPr>
          <w:rFonts w:hint="cs"/>
          <w:rtl/>
        </w:rPr>
      </w:pPr>
    </w:p>
    <w:p w14:paraId="7C94D622" w14:textId="77777777" w:rsidR="00F63793" w:rsidRPr="008C0FB5" w:rsidRDefault="00F63793" w:rsidP="00F63793">
      <w:pPr>
        <w:pStyle w:val="20"/>
        <w:rPr>
          <w:rFonts w:hint="cs"/>
          <w:rtl/>
        </w:rPr>
      </w:pPr>
    </w:p>
    <w:p w14:paraId="74E7D8B9" w14:textId="77777777" w:rsidR="005B1EEE" w:rsidRPr="008C0FB5" w:rsidRDefault="00007798" w:rsidP="00481D39">
      <w:pPr>
        <w:pStyle w:val="20"/>
        <w:rPr>
          <w:rtl/>
        </w:rPr>
      </w:pPr>
      <w:bookmarkStart w:id="27" w:name="_Toc8643622"/>
      <w:r w:rsidRPr="008C0FB5">
        <w:rPr>
          <w:rtl/>
        </w:rPr>
        <w:t>الفصل الأول</w:t>
      </w:r>
      <w:bookmarkStart w:id="28" w:name="_Toc437622365"/>
      <w:bookmarkStart w:id="29" w:name="_Toc437622343"/>
      <w:bookmarkStart w:id="30" w:name="_Toc505372617"/>
      <w:bookmarkEnd w:id="25"/>
      <w:bookmarkEnd w:id="26"/>
      <w:bookmarkEnd w:id="27"/>
    </w:p>
    <w:p w14:paraId="7D723381" w14:textId="77777777" w:rsidR="00007798" w:rsidRPr="008C0FB5" w:rsidRDefault="009B7F7B" w:rsidP="00481D39">
      <w:pPr>
        <w:pStyle w:val="20"/>
        <w:rPr>
          <w:sz w:val="72"/>
          <w:rtl/>
        </w:rPr>
      </w:pPr>
      <w:bookmarkStart w:id="31" w:name="_Toc8643623"/>
      <w:r w:rsidRPr="008C0FB5">
        <w:rPr>
          <w:rtl/>
        </w:rPr>
        <w:t>التعريف بنظرية الباعث وصلتها بغيرها من النظريات</w:t>
      </w:r>
      <w:bookmarkEnd w:id="29"/>
      <w:bookmarkEnd w:id="30"/>
      <w:bookmarkEnd w:id="31"/>
    </w:p>
    <w:p w14:paraId="212ED746" w14:textId="77777777" w:rsidR="00007798" w:rsidRPr="00241ACF" w:rsidRDefault="00007798" w:rsidP="00155784">
      <w:pPr>
        <w:pStyle w:val="35"/>
        <w:rPr>
          <w:color w:val="FFFFFF"/>
          <w:rtl/>
        </w:rPr>
      </w:pPr>
    </w:p>
    <w:p w14:paraId="1D055234" w14:textId="77777777" w:rsidR="00007798" w:rsidRPr="00241ACF" w:rsidRDefault="00007798" w:rsidP="00155784">
      <w:pPr>
        <w:pStyle w:val="35"/>
        <w:rPr>
          <w:color w:val="FFFFFF"/>
          <w:rtl/>
        </w:rPr>
      </w:pPr>
      <w:r w:rsidRPr="00241ACF">
        <w:rPr>
          <w:color w:val="FFFFFF"/>
          <w:rtl/>
        </w:rPr>
        <w:t>ويتضمن المباحث التالية</w:t>
      </w:r>
      <w:r w:rsidR="00FD70E3" w:rsidRPr="00241ACF">
        <w:rPr>
          <w:color w:val="FFFFFF"/>
          <w:rtl/>
        </w:rPr>
        <w:t xml:space="preserve">: </w:t>
      </w:r>
    </w:p>
    <w:p w14:paraId="702F4A16" w14:textId="77777777" w:rsidR="00360CB1" w:rsidRPr="00241ACF" w:rsidRDefault="00360CB1" w:rsidP="000275A9">
      <w:pPr>
        <w:pStyle w:val="1f1"/>
        <w:ind w:left="340"/>
        <w:jc w:val="left"/>
        <w:rPr>
          <w:color w:val="FFFFFF"/>
          <w:rtl/>
          <w:lang w:bidi="ar-IQ"/>
        </w:rPr>
      </w:pPr>
      <w:r w:rsidRPr="00241ACF">
        <w:rPr>
          <w:color w:val="FFFFFF"/>
          <w:rtl/>
          <w:lang w:bidi="ar-IQ"/>
        </w:rPr>
        <w:t>المبحث الاول</w:t>
      </w:r>
      <w:r w:rsidR="00FD70E3" w:rsidRPr="00241ACF">
        <w:rPr>
          <w:color w:val="FFFFFF"/>
          <w:rtl/>
          <w:lang w:bidi="ar-IQ"/>
        </w:rPr>
        <w:t xml:space="preserve">: </w:t>
      </w:r>
      <w:r w:rsidRPr="00241ACF">
        <w:rPr>
          <w:color w:val="FFFFFF"/>
          <w:rtl/>
          <w:lang w:bidi="ar-IQ"/>
        </w:rPr>
        <w:t>تعريف مصطلحات البحث والمفاهيم المرتبطة به</w:t>
      </w:r>
    </w:p>
    <w:p w14:paraId="613A2CD8" w14:textId="77777777" w:rsidR="00360CB1" w:rsidRPr="00241ACF" w:rsidRDefault="00360CB1" w:rsidP="000275A9">
      <w:pPr>
        <w:pStyle w:val="1f1"/>
        <w:ind w:left="340"/>
        <w:jc w:val="left"/>
        <w:rPr>
          <w:color w:val="FFFFFF"/>
          <w:rtl/>
          <w:lang w:bidi="ar-IQ"/>
        </w:rPr>
      </w:pPr>
      <w:r w:rsidRPr="00241ACF">
        <w:rPr>
          <w:color w:val="FFFFFF"/>
          <w:rtl/>
          <w:lang w:bidi="ar-IQ"/>
        </w:rPr>
        <w:t>المبحث الثاني</w:t>
      </w:r>
      <w:r w:rsidR="00FD70E3" w:rsidRPr="00241ACF">
        <w:rPr>
          <w:color w:val="FFFFFF"/>
          <w:rtl/>
          <w:lang w:bidi="ar-IQ"/>
        </w:rPr>
        <w:t xml:space="preserve">: </w:t>
      </w:r>
      <w:r w:rsidRPr="00241ACF">
        <w:rPr>
          <w:color w:val="FFFFFF"/>
          <w:rtl/>
          <w:lang w:bidi="ar-IQ"/>
        </w:rPr>
        <w:t>الايمان والكفر في مدرسة أهل البيت</w:t>
      </w:r>
      <w:r w:rsidR="00421CF0" w:rsidRPr="00241ACF">
        <w:rPr>
          <w:rFonts w:ascii="Abo-thar" w:hAnsi="Abo-thar"/>
          <w:color w:val="FFFFFF"/>
          <w:lang w:bidi="ar-IQ"/>
        </w:rPr>
        <w:t></w:t>
      </w:r>
      <w:r w:rsidRPr="00241ACF">
        <w:rPr>
          <w:color w:val="FFFFFF"/>
          <w:rtl/>
          <w:lang w:bidi="ar-IQ"/>
        </w:rPr>
        <w:t xml:space="preserve"> ومدرسة الخلفاء</w:t>
      </w:r>
    </w:p>
    <w:p w14:paraId="0FD7483E" w14:textId="77777777" w:rsidR="00360CB1" w:rsidRPr="00241ACF" w:rsidRDefault="00360CB1" w:rsidP="000275A9">
      <w:pPr>
        <w:pStyle w:val="1f1"/>
        <w:ind w:left="340"/>
        <w:jc w:val="left"/>
        <w:rPr>
          <w:color w:val="FFFFFF"/>
          <w:rtl/>
          <w:lang w:bidi="ar-IQ"/>
        </w:rPr>
      </w:pPr>
      <w:r w:rsidRPr="00241ACF">
        <w:rPr>
          <w:color w:val="FFFFFF"/>
          <w:rtl/>
          <w:lang w:bidi="ar-IQ"/>
        </w:rPr>
        <w:t>المبحث الثالث</w:t>
      </w:r>
      <w:r w:rsidR="00FD70E3" w:rsidRPr="00241ACF">
        <w:rPr>
          <w:color w:val="FFFFFF"/>
          <w:rtl/>
          <w:lang w:bidi="ar-IQ"/>
        </w:rPr>
        <w:t xml:space="preserve">: </w:t>
      </w:r>
      <w:r w:rsidRPr="00241ACF">
        <w:rPr>
          <w:color w:val="FFFFFF"/>
          <w:rtl/>
          <w:lang w:bidi="ar-IQ"/>
        </w:rPr>
        <w:t>أنواع الكفر والتكفير</w:t>
      </w:r>
    </w:p>
    <w:p w14:paraId="50FB29F8" w14:textId="77777777" w:rsidR="00360CB1" w:rsidRPr="00241ACF" w:rsidRDefault="00360CB1" w:rsidP="000275A9">
      <w:pPr>
        <w:pStyle w:val="1f1"/>
        <w:ind w:left="340"/>
        <w:jc w:val="left"/>
        <w:rPr>
          <w:color w:val="FFFFFF"/>
          <w:rtl/>
          <w:lang w:bidi="ar-IQ"/>
        </w:rPr>
      </w:pPr>
      <w:r w:rsidRPr="00241ACF">
        <w:rPr>
          <w:color w:val="FFFFFF"/>
          <w:rtl/>
          <w:lang w:bidi="ar-IQ"/>
        </w:rPr>
        <w:t>المبحث الرابع</w:t>
      </w:r>
      <w:r w:rsidR="00FD70E3" w:rsidRPr="00241ACF">
        <w:rPr>
          <w:color w:val="FFFFFF"/>
          <w:rtl/>
          <w:lang w:bidi="ar-IQ"/>
        </w:rPr>
        <w:t xml:space="preserve">: </w:t>
      </w:r>
      <w:r w:rsidRPr="00241ACF">
        <w:rPr>
          <w:color w:val="FFFFFF"/>
          <w:rtl/>
          <w:lang w:bidi="ar-IQ"/>
        </w:rPr>
        <w:t xml:space="preserve">طُرق مرجعية الصحابة لفهم القرآن وأثارها على مباني التيارات التكفيرية </w:t>
      </w:r>
    </w:p>
    <w:p w14:paraId="4E85F8D1" w14:textId="77777777" w:rsidR="00007798" w:rsidRPr="00241ACF" w:rsidRDefault="00360CB1" w:rsidP="000275A9">
      <w:pPr>
        <w:pStyle w:val="1f1"/>
        <w:ind w:left="340"/>
        <w:jc w:val="left"/>
        <w:rPr>
          <w:rFonts w:hint="cs"/>
          <w:b/>
          <w:bCs/>
          <w:color w:val="FFFFFF"/>
          <w:sz w:val="30"/>
          <w:szCs w:val="30"/>
          <w:rtl/>
          <w:lang w:bidi="ar-IQ"/>
        </w:rPr>
      </w:pPr>
      <w:r w:rsidRPr="00241ACF">
        <w:rPr>
          <w:color w:val="FFFFFF"/>
          <w:rtl/>
          <w:lang w:bidi="ar-IQ"/>
        </w:rPr>
        <w:t>المبحث الخامس</w:t>
      </w:r>
      <w:r w:rsidR="00FD70E3" w:rsidRPr="00241ACF">
        <w:rPr>
          <w:color w:val="FFFFFF"/>
          <w:rtl/>
          <w:lang w:bidi="ar-IQ"/>
        </w:rPr>
        <w:t xml:space="preserve">: </w:t>
      </w:r>
      <w:r w:rsidRPr="00241ACF">
        <w:rPr>
          <w:color w:val="FFFFFF"/>
          <w:rtl/>
          <w:lang w:bidi="ar-IQ"/>
        </w:rPr>
        <w:t>أنواع مرجعية الصحابة في فهم القرآن</w:t>
      </w:r>
    </w:p>
    <w:p w14:paraId="04A74F15" w14:textId="77777777" w:rsidR="00007798" w:rsidRPr="00241ACF" w:rsidRDefault="00007798" w:rsidP="00155784">
      <w:pPr>
        <w:pStyle w:val="35"/>
        <w:rPr>
          <w:rFonts w:hint="cs"/>
          <w:color w:val="FFFFFF"/>
          <w:rtl/>
        </w:rPr>
      </w:pPr>
    </w:p>
    <w:p w14:paraId="21919459" w14:textId="77777777" w:rsidR="00481D39" w:rsidRPr="008C0FB5" w:rsidRDefault="00481D39" w:rsidP="00481D39">
      <w:pPr>
        <w:pStyle w:val="35"/>
        <w:ind w:firstLine="0"/>
        <w:rPr>
          <w:rtl/>
        </w:rPr>
        <w:sectPr w:rsidR="00481D39" w:rsidRPr="008C0FB5" w:rsidSect="00007798">
          <w:headerReference w:type="even" r:id="rId22"/>
          <w:footnotePr>
            <w:numRestart w:val="eachPage"/>
          </w:footnotePr>
          <w:pgSz w:w="11906" w:h="16838" w:code="9"/>
          <w:pgMar w:top="1701" w:right="1701" w:bottom="1701" w:left="1418" w:header="709" w:footer="1418" w:gutter="0"/>
          <w:cols w:space="708"/>
          <w:titlePg/>
          <w:bidi/>
          <w:rtlGutter/>
          <w:docGrid w:linePitch="360"/>
        </w:sectPr>
      </w:pPr>
    </w:p>
    <w:p w14:paraId="68F4EB41" w14:textId="77777777" w:rsidR="002714AB" w:rsidRPr="008C0FB5" w:rsidRDefault="002714AB" w:rsidP="00481D39">
      <w:pPr>
        <w:pStyle w:val="35"/>
        <w:ind w:firstLine="0"/>
        <w:rPr>
          <w:rFonts w:hint="cs"/>
          <w:rtl/>
        </w:rPr>
      </w:pPr>
    </w:p>
    <w:p w14:paraId="16F1FD0C" w14:textId="77777777" w:rsidR="00481D39" w:rsidRPr="008C0FB5" w:rsidRDefault="00481D39" w:rsidP="00481D39">
      <w:pPr>
        <w:pStyle w:val="35"/>
        <w:ind w:firstLine="0"/>
        <w:rPr>
          <w:rFonts w:hint="cs"/>
          <w:rtl/>
        </w:rPr>
      </w:pPr>
    </w:p>
    <w:p w14:paraId="5C85866E" w14:textId="77777777" w:rsidR="00481D39" w:rsidRPr="008C0FB5" w:rsidRDefault="00481D39" w:rsidP="00481D39">
      <w:pPr>
        <w:pStyle w:val="35"/>
        <w:ind w:firstLine="0"/>
        <w:rPr>
          <w:rFonts w:hint="cs"/>
          <w:rtl/>
        </w:rPr>
      </w:pPr>
    </w:p>
    <w:p w14:paraId="09831855" w14:textId="77777777" w:rsidR="00481D39" w:rsidRPr="008C0FB5" w:rsidRDefault="00481D39" w:rsidP="00481D39">
      <w:pPr>
        <w:pStyle w:val="35"/>
        <w:rPr>
          <w:rFonts w:hint="cs"/>
          <w:rtl/>
        </w:rPr>
      </w:pPr>
      <w:r w:rsidRPr="008C0FB5">
        <w:rPr>
          <w:rFonts w:hint="cs"/>
          <w:rtl/>
        </w:rPr>
        <w:t>لقد بيّنا سابقاً كيف ان رجال الكنيسة وضعوا مفهوماً جديداً للسبب وذلك من خلال تقريرهم لمبدأي الوفاء بالعهد واجب والإخلال به خطيئة. ويتضح من هذا أن الكنسيين اتجهوا إلى ترجيح الاعتبارات الدينية والأخلاقية على الاعتبارات الفنية للصياغة، وبذلك ربطوا بين الإرادة والغرض الذي دفعها للتعاقد فوضعوا بذلك أساس النظرية الحديثة للسبب</w:t>
      </w:r>
      <w:r w:rsidRPr="008C0FB5">
        <w:rPr>
          <w:rFonts w:cs="Saihat" w:hint="cs"/>
          <w:vertAlign w:val="superscript"/>
          <w:rtl/>
        </w:rPr>
        <w:t>(</w:t>
      </w:r>
      <w:r w:rsidRPr="008C0FB5">
        <w:rPr>
          <w:rFonts w:cs="Saihat"/>
          <w:vertAlign w:val="superscript"/>
          <w:rtl/>
        </w:rPr>
        <w:footnoteReference w:id="2"/>
      </w:r>
      <w:r w:rsidRPr="008C0FB5">
        <w:rPr>
          <w:rFonts w:cs="Saihat" w:hint="cs"/>
          <w:vertAlign w:val="superscript"/>
          <w:rtl/>
        </w:rPr>
        <w:t>)</w:t>
      </w:r>
      <w:r w:rsidRPr="008C0FB5">
        <w:rPr>
          <w:rFonts w:hint="cs"/>
          <w:rtl/>
        </w:rPr>
        <w:t>، وهذه النظرية التي بقيت قروناً عديدها في نحرها ولم تخرج إلى أرض الواقع حتى أظهرها القضاء الفرنسي في تطبيقاته القضائية، يدفعه في ذلك قصور أحكام النظرية التقليدية في السبب عن تغطية الوقائع المعروضة عليه في هذا الخصوص، ولذلك فقد حطم القضاء الفرنسي ما بين النظريتين من حواجز للاستفادة من المرونة الحادثة من جراء الأخذ بالباعث على التعاقد.</w:t>
      </w:r>
    </w:p>
    <w:p w14:paraId="05493DB7" w14:textId="77777777" w:rsidR="00481D39" w:rsidRPr="008C0FB5" w:rsidRDefault="00481D39" w:rsidP="00481D39">
      <w:pPr>
        <w:pStyle w:val="35"/>
        <w:rPr>
          <w:rFonts w:hint="cs"/>
          <w:rtl/>
        </w:rPr>
      </w:pPr>
      <w:r w:rsidRPr="008C0FB5">
        <w:rPr>
          <w:rFonts w:hint="cs"/>
          <w:rtl/>
        </w:rPr>
        <w:t xml:space="preserve">ولكن دراسة الباعث تثير عدة مشاكل ذلك لأنه يعني البحث عما يكمن في نفس الإنسان من بواعث دفعته إلى إبرام العقد، فالباعث مرتبط بالإرادة وما الإرادة إلا عمل نفسي ينعقد به العزم على شيء معين، فهي أساس القانون والمنشطة له، حيث نجدها في كل الظواهر العديدة للقاعدة </w:t>
      </w:r>
      <w:proofErr w:type="gramStart"/>
      <w:r w:rsidRPr="008C0FB5">
        <w:rPr>
          <w:rFonts w:hint="cs"/>
          <w:rtl/>
        </w:rPr>
        <w:t>الأخلاقية</w:t>
      </w:r>
      <w:r w:rsidRPr="008C0FB5">
        <w:rPr>
          <w:rFonts w:cs="Saihat" w:hint="cs"/>
          <w:vertAlign w:val="superscript"/>
          <w:rtl/>
        </w:rPr>
        <w:t>(</w:t>
      </w:r>
      <w:proofErr w:type="gramEnd"/>
      <w:r w:rsidRPr="008C0FB5">
        <w:rPr>
          <w:rFonts w:cs="Saihat"/>
          <w:vertAlign w:val="superscript"/>
          <w:rtl/>
        </w:rPr>
        <w:footnoteReference w:id="3"/>
      </w:r>
      <w:r w:rsidRPr="008C0FB5">
        <w:rPr>
          <w:rFonts w:cs="Saihat" w:hint="cs"/>
          <w:vertAlign w:val="superscript"/>
          <w:rtl/>
        </w:rPr>
        <w:t>)</w:t>
      </w:r>
      <w:r w:rsidRPr="008C0FB5">
        <w:rPr>
          <w:rFonts w:hint="cs"/>
          <w:rtl/>
        </w:rPr>
        <w:t>، فلا يمكن تصور تحرك الإرادة دون أن يوجد لها باعث تهدف إليه.</w:t>
      </w:r>
    </w:p>
    <w:p w14:paraId="65D137DF" w14:textId="77777777" w:rsidR="00481D39" w:rsidRPr="008C0FB5" w:rsidRDefault="00481D39" w:rsidP="00481D39">
      <w:pPr>
        <w:pStyle w:val="35"/>
        <w:rPr>
          <w:rFonts w:hint="cs"/>
          <w:rtl/>
        </w:rPr>
      </w:pPr>
      <w:r w:rsidRPr="008C0FB5">
        <w:rPr>
          <w:rFonts w:hint="cs"/>
          <w:rtl/>
        </w:rPr>
        <w:t xml:space="preserve">وعلى فقد قسمنا هذا الفصل إلى اربعة مباحث، نتناول في أولها ماهية الباعث أما ثانيهما فقد خصصناه لبحث الفائدة العملية للباعث في العقود وقد عقدنا ثالثها لبحث نظرية الإرادة الباطنة والتعبير عنها وصلتهما بنظرية الباعث وافردنا رابعها لبحث معيار الباعث. </w:t>
      </w:r>
    </w:p>
    <w:p w14:paraId="26594E2A" w14:textId="77777777" w:rsidR="005947C9" w:rsidRPr="008C0FB5" w:rsidRDefault="005947C9" w:rsidP="00481D39">
      <w:pPr>
        <w:pStyle w:val="35"/>
        <w:rPr>
          <w:rFonts w:hint="cs"/>
          <w:rtl/>
        </w:rPr>
      </w:pPr>
    </w:p>
    <w:p w14:paraId="4B18672A" w14:textId="77777777" w:rsidR="00F41033" w:rsidRPr="008C0FB5" w:rsidRDefault="005947C9" w:rsidP="00C253D0">
      <w:pPr>
        <w:pStyle w:val="a0"/>
        <w:rPr>
          <w:rFonts w:hint="cs"/>
        </w:rPr>
      </w:pPr>
      <w:r w:rsidRPr="008C0FB5">
        <w:rPr>
          <w:rtl/>
        </w:rPr>
        <w:br w:type="page"/>
      </w:r>
      <w:bookmarkStart w:id="32" w:name="_Toc8643624"/>
      <w:r w:rsidR="00F41033" w:rsidRPr="008C0FB5">
        <w:rPr>
          <w:rtl/>
        </w:rPr>
        <w:lastRenderedPageBreak/>
        <w:t>المبحث الاول</w:t>
      </w:r>
      <w:r w:rsidR="00FD70E3" w:rsidRPr="008C0FB5">
        <w:rPr>
          <w:rtl/>
        </w:rPr>
        <w:t xml:space="preserve">: </w:t>
      </w:r>
      <w:r w:rsidR="00481D39" w:rsidRPr="008C0FB5">
        <w:rPr>
          <w:rtl/>
        </w:rPr>
        <w:t>ماهـية الباعث</w:t>
      </w:r>
      <w:bookmarkEnd w:id="32"/>
      <w:r w:rsidR="00481D39" w:rsidRPr="008C0FB5">
        <w:rPr>
          <w:rtl/>
        </w:rPr>
        <w:t xml:space="preserve"> </w:t>
      </w:r>
    </w:p>
    <w:p w14:paraId="023AA229" w14:textId="77777777" w:rsidR="00481D39" w:rsidRPr="008C0FB5" w:rsidRDefault="00481D39" w:rsidP="00481D39">
      <w:pPr>
        <w:pStyle w:val="48"/>
        <w:rPr>
          <w:rtl/>
        </w:rPr>
      </w:pPr>
      <w:r w:rsidRPr="008C0FB5">
        <w:rPr>
          <w:rFonts w:hint="cs"/>
          <w:rtl/>
        </w:rPr>
        <w:t>لابد لنا وقبل كل شيء البدء بإعطاء تعريف محدد للباعث وبيان خصائصه، ثم بيان الشروط الواجب توافرها في الباعث للاعتداد به. ولهذا قسمنا هذا المبحث إلى مطالب ثلاثة، نتناول في أولهما تعريف الباعث وبيان خصائصه أما ثانيهما فقد خصصناه لبحث شروط الباعث وقد عقدنا ثالثهما لتمييز الباعث عما يشبه به من الأنظمة القانونية الأخرى.</w:t>
      </w:r>
    </w:p>
    <w:p w14:paraId="1E6BA197" w14:textId="77777777" w:rsidR="00481D39" w:rsidRPr="008C0FB5" w:rsidRDefault="00F41033" w:rsidP="00C253D0">
      <w:pPr>
        <w:pStyle w:val="a1"/>
        <w:rPr>
          <w:rFonts w:hint="cs"/>
        </w:rPr>
      </w:pPr>
      <w:bookmarkStart w:id="33" w:name="_Toc8643625"/>
      <w:r w:rsidRPr="008C0FB5">
        <w:rPr>
          <w:rtl/>
        </w:rPr>
        <w:t>المطلب الاول</w:t>
      </w:r>
      <w:r w:rsidR="00FD70E3" w:rsidRPr="008C0FB5">
        <w:rPr>
          <w:rtl/>
        </w:rPr>
        <w:t xml:space="preserve">: </w:t>
      </w:r>
      <w:r w:rsidR="00481D39" w:rsidRPr="008C0FB5">
        <w:rPr>
          <w:rFonts w:hint="cs"/>
          <w:rtl/>
        </w:rPr>
        <w:t>تعريف الباعث وبيان خصائصه</w:t>
      </w:r>
      <w:bookmarkEnd w:id="33"/>
    </w:p>
    <w:p w14:paraId="2222D528" w14:textId="77777777" w:rsidR="00481D39" w:rsidRPr="008C0FB5" w:rsidRDefault="00FD70E3" w:rsidP="001C1CE8">
      <w:pPr>
        <w:pStyle w:val="48"/>
        <w:rPr>
          <w:rFonts w:hint="cs"/>
          <w:rtl/>
        </w:rPr>
      </w:pPr>
      <w:r w:rsidRPr="008C0FB5">
        <w:rPr>
          <w:rtl/>
        </w:rPr>
        <w:t xml:space="preserve"> </w:t>
      </w:r>
      <w:r w:rsidR="00481D39" w:rsidRPr="008C0FB5">
        <w:rPr>
          <w:rFonts w:hint="cs"/>
          <w:rtl/>
        </w:rPr>
        <w:t>لقد ثار جدل كبير في الفقه حول تعريف الباعث ووردت له تعريفات عديدة ولذلك قسمنا هذا المطلب إلى فرعين نتناول في أولهما تعريف الباعث أما الفرع الثاني فنخصصه لبيان ما يتميز به الباعث من خصائص تميزه من السبب القصدي.</w:t>
      </w:r>
    </w:p>
    <w:p w14:paraId="2D582BF6" w14:textId="77777777" w:rsidR="00007798" w:rsidRPr="008C0FB5" w:rsidRDefault="00007798" w:rsidP="00481D39">
      <w:pPr>
        <w:pStyle w:val="af8"/>
        <w:rPr>
          <w:rtl/>
          <w:lang w:bidi="ar-IQ"/>
        </w:rPr>
      </w:pPr>
      <w:bookmarkStart w:id="34" w:name="_Toc8643626"/>
      <w:r w:rsidRPr="008C0FB5">
        <w:rPr>
          <w:rtl/>
          <w:lang w:bidi="ar-IQ"/>
        </w:rPr>
        <w:t>الفرع الاول</w:t>
      </w:r>
      <w:r w:rsidR="00FD70E3" w:rsidRPr="008C0FB5">
        <w:rPr>
          <w:rtl/>
          <w:lang w:bidi="ar-IQ"/>
        </w:rPr>
        <w:t xml:space="preserve">: </w:t>
      </w:r>
      <w:r w:rsidR="00481D39" w:rsidRPr="008C0FB5">
        <w:rPr>
          <w:rFonts w:hint="cs"/>
          <w:rtl/>
          <w:lang w:bidi="ar-IQ"/>
        </w:rPr>
        <w:t>تعريف الباعث</w:t>
      </w:r>
      <w:bookmarkEnd w:id="34"/>
    </w:p>
    <w:p w14:paraId="2A9B3A56" w14:textId="77777777" w:rsidR="00481D39" w:rsidRPr="008C0FB5" w:rsidRDefault="00481D39" w:rsidP="001C1CE8">
      <w:pPr>
        <w:pStyle w:val="48"/>
        <w:rPr>
          <w:rFonts w:hint="cs"/>
          <w:rtl/>
        </w:rPr>
      </w:pPr>
      <w:r w:rsidRPr="008C0FB5">
        <w:rPr>
          <w:rFonts w:hint="cs"/>
          <w:rtl/>
        </w:rPr>
        <w:t xml:space="preserve">لفظ الباعث لغة، اسم فاعل مشتق من بعث </w:t>
      </w:r>
    </w:p>
    <w:p w14:paraId="2019B10A" w14:textId="77777777" w:rsidR="00481D39" w:rsidRPr="008C0FB5" w:rsidRDefault="00481D39" w:rsidP="00A613BA">
      <w:pPr>
        <w:pStyle w:val="afffffff1"/>
        <w:rPr>
          <w:rFonts w:hint="cs"/>
          <w:vertAlign w:val="superscript"/>
          <w:rtl/>
        </w:rPr>
      </w:pPr>
      <w:r w:rsidRPr="008C0FB5">
        <w:rPr>
          <w:rFonts w:hint="cs"/>
          <w:rtl/>
        </w:rPr>
        <w:t xml:space="preserve">وبعثه أرسله كابتعثه </w:t>
      </w:r>
      <w:proofErr w:type="gramStart"/>
      <w:r w:rsidRPr="008C0FB5">
        <w:rPr>
          <w:rFonts w:hint="cs"/>
          <w:rtl/>
        </w:rPr>
        <w:t>فانبعث</w:t>
      </w:r>
      <w:r w:rsidRPr="008C0FB5">
        <w:rPr>
          <w:rFonts w:hint="cs"/>
          <w:szCs w:val="30"/>
          <w:vertAlign w:val="superscript"/>
          <w:rtl/>
        </w:rPr>
        <w:t>(</w:t>
      </w:r>
      <w:proofErr w:type="gramEnd"/>
      <w:r w:rsidRPr="008C0FB5">
        <w:rPr>
          <w:szCs w:val="30"/>
          <w:vertAlign w:val="superscript"/>
          <w:rtl/>
        </w:rPr>
        <w:footnoteReference w:id="4"/>
      </w:r>
      <w:r w:rsidRPr="008C0FB5">
        <w:rPr>
          <w:rFonts w:hint="cs"/>
          <w:szCs w:val="30"/>
          <w:vertAlign w:val="superscript"/>
          <w:rtl/>
        </w:rPr>
        <w:t>)</w:t>
      </w:r>
    </w:p>
    <w:p w14:paraId="14A97E2A" w14:textId="77777777" w:rsidR="00481D39" w:rsidRPr="008C0FB5" w:rsidRDefault="00481D39" w:rsidP="00607EEA">
      <w:pPr>
        <w:pStyle w:val="35"/>
        <w:rPr>
          <w:rFonts w:hint="cs"/>
          <w:rtl/>
        </w:rPr>
      </w:pPr>
      <w:r w:rsidRPr="008C0FB5">
        <w:rPr>
          <w:rFonts w:hint="cs"/>
          <w:rtl/>
        </w:rPr>
        <w:t xml:space="preserve">أما معناه في الاصطلاح الشرعي فقد عرفه الدكتور وهبة الزحيلي بأنه </w:t>
      </w:r>
    </w:p>
    <w:p w14:paraId="4559C735" w14:textId="77777777" w:rsidR="00481D39" w:rsidRPr="008C0FB5" w:rsidRDefault="00481D39" w:rsidP="00A613BA">
      <w:pPr>
        <w:pStyle w:val="afffffff1"/>
        <w:rPr>
          <w:rFonts w:hint="cs"/>
          <w:rtl/>
        </w:rPr>
      </w:pPr>
      <w:r w:rsidRPr="008C0FB5">
        <w:rPr>
          <w:rFonts w:hint="cs"/>
          <w:rtl/>
        </w:rPr>
        <w:t xml:space="preserve">ما يدفع العاقد إلى إبرام </w:t>
      </w:r>
      <w:proofErr w:type="gramStart"/>
      <w:r w:rsidRPr="008C0FB5">
        <w:rPr>
          <w:rFonts w:hint="cs"/>
          <w:rtl/>
        </w:rPr>
        <w:t>العقد</w:t>
      </w:r>
      <w:r w:rsidRPr="008C0FB5">
        <w:rPr>
          <w:rFonts w:hint="cs"/>
          <w:szCs w:val="30"/>
          <w:vertAlign w:val="superscript"/>
          <w:rtl/>
        </w:rPr>
        <w:t>(</w:t>
      </w:r>
      <w:proofErr w:type="gramEnd"/>
      <w:r w:rsidRPr="008C0FB5">
        <w:rPr>
          <w:szCs w:val="30"/>
          <w:vertAlign w:val="superscript"/>
          <w:rtl/>
        </w:rPr>
        <w:footnoteReference w:id="5"/>
      </w:r>
      <w:r w:rsidRPr="008C0FB5">
        <w:rPr>
          <w:rFonts w:hint="cs"/>
          <w:szCs w:val="30"/>
          <w:vertAlign w:val="superscript"/>
          <w:rtl/>
        </w:rPr>
        <w:t>)</w:t>
      </w:r>
      <w:r w:rsidRPr="008C0FB5">
        <w:rPr>
          <w:rFonts w:hint="cs"/>
          <w:rtl/>
        </w:rPr>
        <w:t>.</w:t>
      </w:r>
    </w:p>
    <w:p w14:paraId="203C0DB4" w14:textId="77777777" w:rsidR="00481D39" w:rsidRPr="008C0FB5" w:rsidRDefault="00481D39" w:rsidP="00607EEA">
      <w:pPr>
        <w:pStyle w:val="35"/>
        <w:rPr>
          <w:rFonts w:hint="cs"/>
          <w:rtl/>
        </w:rPr>
      </w:pPr>
      <w:r w:rsidRPr="008C0FB5">
        <w:rPr>
          <w:rFonts w:hint="cs"/>
          <w:rtl/>
        </w:rPr>
        <w:t xml:space="preserve">ولم يقف الأمر عند هذا الحد فقد عرفه البعض أيضاً بأنه الغرض البعيد المطلوب تحصيله بالأسباب، والدافع إلى مباشرتها، وإن شئت قلت القصد المنوي، وهذا المقصد هو الذي انصرف قصد العاقل إلى تحقيقه، وإلا لم يكن مقصوداً، فالقصد هو انبعاث النفس بحكم الرغبة والميل إلى ما هو موافق للغرض أما في الحال أو في </w:t>
      </w:r>
      <w:proofErr w:type="gramStart"/>
      <w:r w:rsidRPr="008C0FB5">
        <w:rPr>
          <w:rFonts w:hint="cs"/>
          <w:rtl/>
        </w:rPr>
        <w:t>المآل</w:t>
      </w:r>
      <w:r w:rsidRPr="008C0FB5">
        <w:rPr>
          <w:rFonts w:cs="Saihat" w:hint="cs"/>
          <w:vertAlign w:val="superscript"/>
          <w:rtl/>
        </w:rPr>
        <w:t>(</w:t>
      </w:r>
      <w:proofErr w:type="gramEnd"/>
      <w:r w:rsidRPr="008C0FB5">
        <w:rPr>
          <w:rFonts w:cs="Saihat"/>
          <w:vertAlign w:val="superscript"/>
          <w:rtl/>
        </w:rPr>
        <w:footnoteReference w:id="6"/>
      </w:r>
      <w:r w:rsidRPr="008C0FB5">
        <w:rPr>
          <w:rFonts w:cs="Saihat" w:hint="cs"/>
          <w:vertAlign w:val="superscript"/>
          <w:rtl/>
        </w:rPr>
        <w:t>)</w:t>
      </w:r>
      <w:r w:rsidRPr="008C0FB5">
        <w:rPr>
          <w:rFonts w:hint="cs"/>
          <w:rtl/>
        </w:rPr>
        <w:t>.</w:t>
      </w:r>
    </w:p>
    <w:p w14:paraId="3AE676E0" w14:textId="77777777" w:rsidR="00481D39" w:rsidRPr="008C0FB5" w:rsidRDefault="00481D39" w:rsidP="00607EEA">
      <w:pPr>
        <w:pStyle w:val="35"/>
        <w:rPr>
          <w:rFonts w:hint="cs"/>
          <w:rtl/>
        </w:rPr>
      </w:pPr>
      <w:r w:rsidRPr="008C0FB5">
        <w:rPr>
          <w:rFonts w:hint="cs"/>
          <w:rtl/>
        </w:rPr>
        <w:t xml:space="preserve">وقد جاء في قول للإمام </w:t>
      </w:r>
      <w:proofErr w:type="gramStart"/>
      <w:r w:rsidRPr="008C0FB5">
        <w:rPr>
          <w:rFonts w:hint="cs"/>
          <w:rtl/>
        </w:rPr>
        <w:t>الغزالي</w:t>
      </w:r>
      <w:r w:rsidRPr="008C0FB5">
        <w:rPr>
          <w:rFonts w:cs="Saihat" w:hint="cs"/>
          <w:vertAlign w:val="superscript"/>
          <w:rtl/>
        </w:rPr>
        <w:t>(</w:t>
      </w:r>
      <w:proofErr w:type="gramEnd"/>
      <w:r w:rsidRPr="008C0FB5">
        <w:rPr>
          <w:rFonts w:cs="Saihat"/>
          <w:vertAlign w:val="superscript"/>
          <w:rtl/>
        </w:rPr>
        <w:footnoteReference w:id="7"/>
      </w:r>
      <w:r w:rsidRPr="008C0FB5">
        <w:rPr>
          <w:rFonts w:cs="Saihat" w:hint="cs"/>
          <w:vertAlign w:val="superscript"/>
          <w:rtl/>
        </w:rPr>
        <w:t>)</w:t>
      </w:r>
      <w:r w:rsidRPr="008C0FB5">
        <w:rPr>
          <w:rFonts w:hint="cs"/>
          <w:rtl/>
        </w:rPr>
        <w:t xml:space="preserve"> في ما يخص الباعث ما نصه </w:t>
      </w:r>
    </w:p>
    <w:p w14:paraId="366B49F7" w14:textId="77777777" w:rsidR="00481D39" w:rsidRPr="008C0FB5" w:rsidRDefault="00481D39" w:rsidP="00A613BA">
      <w:pPr>
        <w:pStyle w:val="afffffff1"/>
        <w:rPr>
          <w:rFonts w:hint="cs"/>
          <w:rtl/>
        </w:rPr>
      </w:pPr>
      <w:r w:rsidRPr="008C0FB5">
        <w:rPr>
          <w:rFonts w:hint="cs"/>
          <w:rtl/>
        </w:rPr>
        <w:t>اعلم ان النية والإرادة والقصد عبارات متواردة على معنى واحد، وهو حالةٍ وصفةٍ للقلب يكتنفها أمران: علم وعمل، العلم يُقدم لأنه أصله وشرطه والعمل يتبعه لأنه ثمرته وفرعه، وذلك لأن كل عمل، أعي كل حركة وسكون اختياري لا يتم إلا بثلاثة أمور، علم وإرادة، وقدرة. إذ إن النية والإرادة والقصد ألفاظ يراد بها معنى واحد في الفقه الإسلامي: هو انبعاث القلب نحو ما يراه موافقاً للغرض من جلب نفع أو دفع ضرر حالاً أو مآلاً</w:t>
      </w:r>
      <w:r w:rsidR="003E1E9A" w:rsidRPr="008C0FB5">
        <w:rPr>
          <w:rFonts w:hint="cs"/>
          <w:rtl/>
        </w:rPr>
        <w:t>.</w:t>
      </w:r>
    </w:p>
    <w:p w14:paraId="4D01535C" w14:textId="77777777" w:rsidR="00481D39" w:rsidRPr="008C0FB5" w:rsidRDefault="00481D39" w:rsidP="001B5175">
      <w:pPr>
        <w:pStyle w:val="35"/>
        <w:rPr>
          <w:rFonts w:hint="cs"/>
          <w:rtl/>
        </w:rPr>
      </w:pPr>
      <w:r w:rsidRPr="008C0FB5">
        <w:rPr>
          <w:rFonts w:hint="cs"/>
          <w:rtl/>
        </w:rPr>
        <w:t xml:space="preserve">أما المقصود فهو مباين للقصد لفظاً ومعنى، إذ هو الغرض المطلوب، في حين ان القصد هو إرادة </w:t>
      </w:r>
      <w:proofErr w:type="gramStart"/>
      <w:r w:rsidRPr="008C0FB5">
        <w:rPr>
          <w:rFonts w:hint="cs"/>
          <w:rtl/>
        </w:rPr>
        <w:t>تحصيله</w:t>
      </w:r>
      <w:r w:rsidRPr="008C0FB5">
        <w:rPr>
          <w:rFonts w:cs="Saihat" w:hint="cs"/>
          <w:vertAlign w:val="superscript"/>
          <w:rtl/>
        </w:rPr>
        <w:t>(</w:t>
      </w:r>
      <w:proofErr w:type="gramEnd"/>
      <w:r w:rsidRPr="008C0FB5">
        <w:rPr>
          <w:rFonts w:cs="Saihat"/>
          <w:vertAlign w:val="superscript"/>
          <w:rtl/>
        </w:rPr>
        <w:footnoteReference w:id="8"/>
      </w:r>
      <w:r w:rsidRPr="008C0FB5">
        <w:rPr>
          <w:rFonts w:cs="Saihat" w:hint="cs"/>
          <w:vertAlign w:val="superscript"/>
          <w:rtl/>
        </w:rPr>
        <w:t>)</w:t>
      </w:r>
      <w:r w:rsidRPr="008C0FB5">
        <w:rPr>
          <w:rFonts w:hint="cs"/>
          <w:rtl/>
        </w:rPr>
        <w:t>.</w:t>
      </w:r>
    </w:p>
    <w:p w14:paraId="46E7C6F7" w14:textId="77777777" w:rsidR="00481D39" w:rsidRPr="008C0FB5" w:rsidRDefault="00481D39" w:rsidP="00FD4D6B">
      <w:pPr>
        <w:pStyle w:val="35"/>
        <w:rPr>
          <w:rFonts w:hint="cs"/>
          <w:rtl/>
        </w:rPr>
      </w:pPr>
      <w:r w:rsidRPr="008C0FB5">
        <w:rPr>
          <w:rFonts w:hint="cs"/>
          <w:rtl/>
        </w:rPr>
        <w:t xml:space="preserve">هذا بالنسبة لنظرة فقهاء الشريعة للباعث أما فقهاء القانون فقد أغفل الكثير منهم تعريف الباعث ولم يعرفه إلا القليل منهم، فقد عرفه الدكتور فتحي الدريني بأنه: </w:t>
      </w:r>
    </w:p>
    <w:p w14:paraId="44C8C3B4" w14:textId="77777777" w:rsidR="00481D39" w:rsidRPr="008C0FB5" w:rsidRDefault="00481D39" w:rsidP="00A613BA">
      <w:pPr>
        <w:pStyle w:val="afffffff1"/>
        <w:rPr>
          <w:rFonts w:hint="cs"/>
          <w:rtl/>
        </w:rPr>
      </w:pPr>
      <w:r w:rsidRPr="008C0FB5">
        <w:rPr>
          <w:rFonts w:hint="cs"/>
          <w:rtl/>
        </w:rPr>
        <w:lastRenderedPageBreak/>
        <w:t xml:space="preserve">الدافع الذي يحرك إرادة المنشئ للتصرف إلى تحقيق غرض غير </w:t>
      </w:r>
      <w:proofErr w:type="gramStart"/>
      <w:r w:rsidRPr="008C0FB5">
        <w:rPr>
          <w:rFonts w:hint="cs"/>
          <w:rtl/>
        </w:rPr>
        <w:t>مشروع</w:t>
      </w:r>
      <w:r w:rsidRPr="008C0FB5">
        <w:rPr>
          <w:rFonts w:hint="cs"/>
          <w:szCs w:val="30"/>
          <w:vertAlign w:val="superscript"/>
          <w:rtl/>
        </w:rPr>
        <w:t>(</w:t>
      </w:r>
      <w:proofErr w:type="gramEnd"/>
      <w:r w:rsidRPr="008C0FB5">
        <w:rPr>
          <w:szCs w:val="30"/>
          <w:vertAlign w:val="superscript"/>
          <w:rtl/>
        </w:rPr>
        <w:footnoteReference w:id="9"/>
      </w:r>
      <w:r w:rsidRPr="008C0FB5">
        <w:rPr>
          <w:rFonts w:hint="cs"/>
          <w:szCs w:val="30"/>
          <w:vertAlign w:val="superscript"/>
          <w:rtl/>
        </w:rPr>
        <w:t>)</w:t>
      </w:r>
      <w:r w:rsidRPr="008C0FB5">
        <w:rPr>
          <w:rFonts w:hint="cs"/>
          <w:rtl/>
        </w:rPr>
        <w:t>.</w:t>
      </w:r>
    </w:p>
    <w:p w14:paraId="65089F4A" w14:textId="77777777" w:rsidR="00481D39" w:rsidRPr="008C0FB5" w:rsidRDefault="00481D39" w:rsidP="00FD4D6B">
      <w:pPr>
        <w:pStyle w:val="35"/>
        <w:rPr>
          <w:rFonts w:hint="cs"/>
          <w:rtl/>
        </w:rPr>
      </w:pPr>
      <w:r w:rsidRPr="008C0FB5">
        <w:rPr>
          <w:rFonts w:hint="cs"/>
          <w:rtl/>
        </w:rPr>
        <w:t>ويؤخذ على هذا التعريف قوله (غرض غير مشروع) مع ان الباعث على التعاقد قد يكون مشروعاً وقد يكون غير مشروع ولهذا فان هذا التعريف قاصر لأنه غير جامع لمعنى الباعث.</w:t>
      </w:r>
    </w:p>
    <w:p w14:paraId="16D3BDFD" w14:textId="77777777" w:rsidR="00481D39" w:rsidRPr="008C0FB5" w:rsidRDefault="00481D39" w:rsidP="00FD4D6B">
      <w:pPr>
        <w:pStyle w:val="35"/>
        <w:rPr>
          <w:rFonts w:hint="cs"/>
          <w:rtl/>
        </w:rPr>
      </w:pPr>
      <w:r w:rsidRPr="008C0FB5">
        <w:rPr>
          <w:rFonts w:hint="cs"/>
          <w:rtl/>
        </w:rPr>
        <w:t xml:space="preserve">اما الدكتور عبد الحي حجازي فقد عرفه بأنه: </w:t>
      </w:r>
    </w:p>
    <w:p w14:paraId="542C6029" w14:textId="77777777" w:rsidR="00481D39" w:rsidRPr="008C0FB5" w:rsidRDefault="00481D39" w:rsidP="00A613BA">
      <w:pPr>
        <w:pStyle w:val="afffffff1"/>
        <w:rPr>
          <w:rFonts w:hint="cs"/>
          <w:rtl/>
        </w:rPr>
      </w:pPr>
      <w:r w:rsidRPr="008C0FB5">
        <w:rPr>
          <w:rFonts w:hint="cs"/>
          <w:rtl/>
        </w:rPr>
        <w:t xml:space="preserve">وسيلة احتياطية يقصد بها إبطال عقد يستهدف بوسائل مشروعة لتحقيق نتائج غير </w:t>
      </w:r>
      <w:proofErr w:type="gramStart"/>
      <w:r w:rsidRPr="008C0FB5">
        <w:rPr>
          <w:rFonts w:hint="cs"/>
          <w:rtl/>
        </w:rPr>
        <w:t>مشروعة</w:t>
      </w:r>
      <w:r w:rsidRPr="008C0FB5">
        <w:rPr>
          <w:rFonts w:hint="cs"/>
          <w:szCs w:val="30"/>
          <w:vertAlign w:val="superscript"/>
          <w:rtl/>
        </w:rPr>
        <w:t>(</w:t>
      </w:r>
      <w:proofErr w:type="gramEnd"/>
      <w:r w:rsidRPr="008C0FB5">
        <w:rPr>
          <w:szCs w:val="30"/>
          <w:vertAlign w:val="superscript"/>
          <w:rtl/>
        </w:rPr>
        <w:footnoteReference w:id="10"/>
      </w:r>
      <w:r w:rsidRPr="008C0FB5">
        <w:rPr>
          <w:rFonts w:hint="cs"/>
          <w:szCs w:val="30"/>
          <w:vertAlign w:val="superscript"/>
          <w:rtl/>
        </w:rPr>
        <w:t>)</w:t>
      </w:r>
      <w:r w:rsidRPr="008C0FB5">
        <w:rPr>
          <w:rFonts w:hint="cs"/>
          <w:rtl/>
        </w:rPr>
        <w:t>.</w:t>
      </w:r>
    </w:p>
    <w:p w14:paraId="4571E926" w14:textId="77777777" w:rsidR="00481D39" w:rsidRPr="008C0FB5" w:rsidRDefault="00481D39" w:rsidP="005947C9">
      <w:pPr>
        <w:pStyle w:val="35"/>
        <w:rPr>
          <w:rFonts w:hint="cs"/>
          <w:rtl/>
        </w:rPr>
      </w:pPr>
      <w:r w:rsidRPr="008C0FB5">
        <w:rPr>
          <w:rFonts w:hint="cs"/>
          <w:rtl/>
        </w:rPr>
        <w:t>إلا انه يلاحظ على هذا التعريف انه لا يعرف الباعث، بل هو يعمل على تحديد الوظيفة العقدية للباعث فضلاً عن انه يؤخذ عليه ما أخذ على التعريف السابق من قصور.</w:t>
      </w:r>
    </w:p>
    <w:p w14:paraId="3E0A31FE" w14:textId="77777777" w:rsidR="00481D39" w:rsidRPr="008C0FB5" w:rsidRDefault="00481D39" w:rsidP="00FD4D6B">
      <w:pPr>
        <w:pStyle w:val="35"/>
        <w:rPr>
          <w:rFonts w:hint="cs"/>
          <w:rtl/>
        </w:rPr>
      </w:pPr>
      <w:r w:rsidRPr="008C0FB5">
        <w:rPr>
          <w:rFonts w:hint="cs"/>
          <w:rtl/>
        </w:rPr>
        <w:t xml:space="preserve">وقد عرفته مجموعة الأعمال التحضيرية للقانون المدني المصري بأنه: </w:t>
      </w:r>
    </w:p>
    <w:p w14:paraId="282CB94A" w14:textId="77777777" w:rsidR="00481D39" w:rsidRPr="008C0FB5" w:rsidRDefault="00481D39" w:rsidP="00A613BA">
      <w:pPr>
        <w:pStyle w:val="afffffff1"/>
        <w:rPr>
          <w:rFonts w:hint="cs"/>
          <w:rtl/>
        </w:rPr>
      </w:pPr>
      <w:r w:rsidRPr="008C0FB5">
        <w:rPr>
          <w:rFonts w:hint="cs"/>
          <w:rtl/>
        </w:rPr>
        <w:t xml:space="preserve">الباعث المستحث في التصرفات القانونية عامة لا فرق في ذلك بين التبرعات </w:t>
      </w:r>
      <w:proofErr w:type="gramStart"/>
      <w:r w:rsidRPr="008C0FB5">
        <w:rPr>
          <w:rFonts w:hint="cs"/>
          <w:rtl/>
        </w:rPr>
        <w:t>والمعاوضات</w:t>
      </w:r>
      <w:r w:rsidRPr="008C0FB5">
        <w:rPr>
          <w:rFonts w:hint="cs"/>
          <w:szCs w:val="30"/>
          <w:vertAlign w:val="superscript"/>
          <w:rtl/>
        </w:rPr>
        <w:t>(</w:t>
      </w:r>
      <w:proofErr w:type="gramEnd"/>
      <w:r w:rsidRPr="008C0FB5">
        <w:rPr>
          <w:szCs w:val="30"/>
          <w:vertAlign w:val="superscript"/>
          <w:rtl/>
        </w:rPr>
        <w:footnoteReference w:id="11"/>
      </w:r>
      <w:r w:rsidRPr="008C0FB5">
        <w:rPr>
          <w:rFonts w:hint="cs"/>
          <w:szCs w:val="30"/>
          <w:vertAlign w:val="superscript"/>
          <w:rtl/>
        </w:rPr>
        <w:t>)</w:t>
      </w:r>
      <w:r w:rsidRPr="008C0FB5">
        <w:rPr>
          <w:rFonts w:hint="cs"/>
          <w:rtl/>
        </w:rPr>
        <w:t>.</w:t>
      </w:r>
    </w:p>
    <w:p w14:paraId="56CD0175" w14:textId="77777777" w:rsidR="00481D39" w:rsidRPr="008C0FB5" w:rsidRDefault="00481D39" w:rsidP="00FD4D6B">
      <w:pPr>
        <w:pStyle w:val="35"/>
        <w:rPr>
          <w:rFonts w:hint="cs"/>
          <w:rtl/>
        </w:rPr>
      </w:pPr>
      <w:r w:rsidRPr="008C0FB5">
        <w:rPr>
          <w:rFonts w:hint="cs"/>
          <w:rtl/>
        </w:rPr>
        <w:t xml:space="preserve">ولا يسعنا هنا إلا تأييد وجهة نظر الدكتور وهبة الزحيلي في تعريفه للباعث فضلاً عن تأييد وجهة نظر مجموعة الأعمال التحضيرية للقانون المدني المصري مع بعض التحوير ونستخلص منهما تعريفاً جامعاً للباعث، وهو </w:t>
      </w:r>
    </w:p>
    <w:p w14:paraId="11BDBA7A" w14:textId="77777777" w:rsidR="00481D39" w:rsidRPr="008C0FB5" w:rsidRDefault="00481D39" w:rsidP="00A613BA">
      <w:pPr>
        <w:pStyle w:val="afffffff1"/>
        <w:rPr>
          <w:rFonts w:hint="cs"/>
          <w:rtl/>
        </w:rPr>
      </w:pPr>
      <w:r w:rsidRPr="008C0FB5">
        <w:rPr>
          <w:rFonts w:hint="cs"/>
          <w:rtl/>
        </w:rPr>
        <w:t>الغرض البعيد الذي يدفع المتعاقد إلى إبرام العقد سواء أكان مشروعاً أو غير مشروع</w:t>
      </w:r>
      <w:r w:rsidR="003E1E9A" w:rsidRPr="008C0FB5">
        <w:rPr>
          <w:rFonts w:hint="cs"/>
          <w:rtl/>
        </w:rPr>
        <w:t>.</w:t>
      </w:r>
    </w:p>
    <w:p w14:paraId="36A78D0C" w14:textId="77777777" w:rsidR="00481D39" w:rsidRPr="008C0FB5" w:rsidRDefault="00481D39" w:rsidP="00FD4D6B">
      <w:pPr>
        <w:pStyle w:val="35"/>
        <w:rPr>
          <w:rFonts w:hint="cs"/>
          <w:rtl/>
        </w:rPr>
      </w:pPr>
      <w:r w:rsidRPr="008C0FB5">
        <w:rPr>
          <w:rFonts w:hint="cs"/>
          <w:rtl/>
        </w:rPr>
        <w:t xml:space="preserve">وعلينا أن نذكر هنا ان مسألة الباعث لا تثار إلا إذا كان الغرض الذي يراد تحقيقه من إبرام العقد غير المشروع أو انه لم يتحقق، أما بالنسبة لمسألة الغلط في الباعث أو الباعث الموهوم فانها تخرج من نطاق بحثنا وتدخل في نطاق نظرية الغلط، كمن يشتري سيارة معتقداً ان سيارته القديمة قد هلكت ثم يتضح غير ذلك، وكمن يشتري داراً في بغداد معتقداً انه نقل إلى هناك ويتبين بعد ذلك غير ما </w:t>
      </w:r>
      <w:proofErr w:type="gramStart"/>
      <w:r w:rsidRPr="008C0FB5">
        <w:rPr>
          <w:rFonts w:hint="cs"/>
          <w:rtl/>
        </w:rPr>
        <w:t>اعتقد</w:t>
      </w:r>
      <w:r w:rsidRPr="008C0FB5">
        <w:rPr>
          <w:rFonts w:cs="Saihat" w:hint="cs"/>
          <w:vertAlign w:val="superscript"/>
          <w:rtl/>
        </w:rPr>
        <w:t>(</w:t>
      </w:r>
      <w:proofErr w:type="gramEnd"/>
      <w:r w:rsidRPr="008C0FB5">
        <w:rPr>
          <w:rFonts w:cs="Saihat"/>
          <w:vertAlign w:val="superscript"/>
          <w:rtl/>
        </w:rPr>
        <w:footnoteReference w:id="12"/>
      </w:r>
      <w:r w:rsidRPr="008C0FB5">
        <w:rPr>
          <w:rFonts w:cs="Saihat" w:hint="cs"/>
          <w:vertAlign w:val="superscript"/>
          <w:rtl/>
        </w:rPr>
        <w:t>)</w:t>
      </w:r>
      <w:r w:rsidRPr="008C0FB5">
        <w:rPr>
          <w:rFonts w:hint="cs"/>
          <w:rtl/>
        </w:rPr>
        <w:t>.</w:t>
      </w:r>
    </w:p>
    <w:p w14:paraId="54DADE13" w14:textId="77777777" w:rsidR="00007798" w:rsidRPr="008C0FB5" w:rsidRDefault="00007798" w:rsidP="00481D39">
      <w:pPr>
        <w:pStyle w:val="af8"/>
        <w:jc w:val="both"/>
        <w:rPr>
          <w:rtl/>
          <w:lang w:bidi="ar-IQ"/>
        </w:rPr>
      </w:pPr>
      <w:bookmarkStart w:id="35" w:name="_Toc8643627"/>
      <w:r w:rsidRPr="008C0FB5">
        <w:rPr>
          <w:rtl/>
          <w:lang w:bidi="ar-IQ"/>
        </w:rPr>
        <w:t>الفرع الثاني</w:t>
      </w:r>
      <w:r w:rsidR="00FD70E3" w:rsidRPr="008C0FB5">
        <w:rPr>
          <w:rtl/>
          <w:lang w:bidi="ar-IQ"/>
        </w:rPr>
        <w:t xml:space="preserve">: </w:t>
      </w:r>
      <w:r w:rsidR="00481D39" w:rsidRPr="008C0FB5">
        <w:rPr>
          <w:rFonts w:hint="cs"/>
          <w:rtl/>
          <w:lang w:bidi="ar-IQ"/>
        </w:rPr>
        <w:t>خصائص الباعـث</w:t>
      </w:r>
      <w:bookmarkEnd w:id="35"/>
    </w:p>
    <w:bookmarkEnd w:id="28"/>
    <w:p w14:paraId="6B865B23" w14:textId="77777777" w:rsidR="00481D39" w:rsidRPr="008C0FB5" w:rsidRDefault="00481D39" w:rsidP="00FD4D6B">
      <w:pPr>
        <w:pStyle w:val="48"/>
        <w:rPr>
          <w:rFonts w:hint="cs"/>
          <w:rtl/>
        </w:rPr>
      </w:pPr>
      <w:r w:rsidRPr="008C0FB5">
        <w:rPr>
          <w:rFonts w:hint="cs"/>
          <w:rtl/>
        </w:rPr>
        <w:t>إن للباعث خصائص متعددة يمكن إجمالها بالآتي:</w:t>
      </w:r>
    </w:p>
    <w:p w14:paraId="1C633E8F" w14:textId="77777777" w:rsidR="00481D39" w:rsidRPr="008C0FB5" w:rsidRDefault="00481D39" w:rsidP="007A1F34">
      <w:pPr>
        <w:pStyle w:val="48"/>
        <w:numPr>
          <w:ilvl w:val="0"/>
          <w:numId w:val="17"/>
        </w:numPr>
        <w:rPr>
          <w:rFonts w:hint="cs"/>
          <w:rtl/>
        </w:rPr>
      </w:pPr>
      <w:r w:rsidRPr="008C0FB5">
        <w:rPr>
          <w:rFonts w:hint="cs"/>
          <w:rtl/>
        </w:rPr>
        <w:t xml:space="preserve">إن الباعث أمر خارجي عن العقد فهو ليس ركناً في العقد، ولا شرطاً من شروط وجوده ولذلك يجب على القاضي أن يبحث عنه خارج العقد ويستدل عليه بكل القرائن وظروف انعقاد العقد، ذلك لأن الباعث لا يشترط فيه أن يكون متفقاً عليه بل يكفي علم المتعاقد الآخر به لإبطال العقد، هذا بالنسبة لعقود المعاوضات أما عقود التبرعات فحتى شرط </w:t>
      </w:r>
      <w:r w:rsidRPr="008C0FB5">
        <w:rPr>
          <w:rFonts w:hint="cs"/>
          <w:rtl/>
        </w:rPr>
        <w:lastRenderedPageBreak/>
        <w:t xml:space="preserve">العلم لا يشترط </w:t>
      </w:r>
      <w:proofErr w:type="gramStart"/>
      <w:r w:rsidRPr="008C0FB5">
        <w:rPr>
          <w:rFonts w:hint="cs"/>
          <w:rtl/>
        </w:rPr>
        <w:t>فيها</w:t>
      </w:r>
      <w:r w:rsidRPr="008C0FB5">
        <w:rPr>
          <w:rFonts w:cs="Saihat" w:hint="cs"/>
          <w:vertAlign w:val="superscript"/>
          <w:rtl/>
        </w:rPr>
        <w:t>(</w:t>
      </w:r>
      <w:proofErr w:type="gramEnd"/>
      <w:r w:rsidRPr="008C0FB5">
        <w:rPr>
          <w:rFonts w:cs="Saihat"/>
          <w:vertAlign w:val="superscript"/>
          <w:rtl/>
        </w:rPr>
        <w:footnoteReference w:id="13"/>
      </w:r>
      <w:r w:rsidRPr="008C0FB5">
        <w:rPr>
          <w:rFonts w:cs="Saihat" w:hint="cs"/>
          <w:vertAlign w:val="superscript"/>
          <w:rtl/>
        </w:rPr>
        <w:t>)</w:t>
      </w:r>
      <w:r w:rsidRPr="008C0FB5">
        <w:rPr>
          <w:rFonts w:hint="cs"/>
          <w:rtl/>
        </w:rPr>
        <w:t>.</w:t>
      </w:r>
    </w:p>
    <w:p w14:paraId="2663BCB5" w14:textId="77777777" w:rsidR="00481D39" w:rsidRPr="008C0FB5" w:rsidRDefault="00481D39" w:rsidP="007A1F34">
      <w:pPr>
        <w:pStyle w:val="48"/>
        <w:numPr>
          <w:ilvl w:val="0"/>
          <w:numId w:val="17"/>
        </w:numPr>
        <w:rPr>
          <w:rFonts w:hint="cs"/>
          <w:rtl/>
        </w:rPr>
      </w:pPr>
      <w:r w:rsidRPr="008C0FB5">
        <w:rPr>
          <w:rFonts w:hint="cs"/>
          <w:rtl/>
        </w:rPr>
        <w:t xml:space="preserve">إن الباعث أمر نفسي، وعلى ذلك فهو شيء ذاتي للملتزم، إذ يرجع فيه إلى نوايا نفسه وخفاياها، وما تتأثر به من </w:t>
      </w:r>
      <w:proofErr w:type="gramStart"/>
      <w:r w:rsidRPr="008C0FB5">
        <w:rPr>
          <w:rFonts w:hint="cs"/>
          <w:rtl/>
        </w:rPr>
        <w:t>دوافع</w:t>
      </w:r>
      <w:r w:rsidRPr="008C0FB5">
        <w:rPr>
          <w:rFonts w:cs="Saihat" w:hint="cs"/>
          <w:vertAlign w:val="superscript"/>
          <w:rtl/>
        </w:rPr>
        <w:t>(</w:t>
      </w:r>
      <w:proofErr w:type="gramEnd"/>
      <w:r w:rsidRPr="008C0FB5">
        <w:rPr>
          <w:rFonts w:cs="Saihat"/>
          <w:vertAlign w:val="superscript"/>
          <w:rtl/>
        </w:rPr>
        <w:footnoteReference w:id="14"/>
      </w:r>
      <w:r w:rsidRPr="008C0FB5">
        <w:rPr>
          <w:rFonts w:cs="Saihat" w:hint="cs"/>
          <w:vertAlign w:val="superscript"/>
          <w:rtl/>
        </w:rPr>
        <w:t>)</w:t>
      </w:r>
      <w:r w:rsidRPr="008C0FB5">
        <w:rPr>
          <w:rFonts w:hint="cs"/>
          <w:rtl/>
        </w:rPr>
        <w:t>، ويترتب على هذه الخصيصة الخصيصة الآتية وهي:</w:t>
      </w:r>
    </w:p>
    <w:p w14:paraId="5B4B2D8A" w14:textId="77777777" w:rsidR="00481D39" w:rsidRPr="008C0FB5" w:rsidRDefault="00481D39" w:rsidP="007A1F34">
      <w:pPr>
        <w:pStyle w:val="48"/>
        <w:numPr>
          <w:ilvl w:val="0"/>
          <w:numId w:val="17"/>
        </w:numPr>
        <w:rPr>
          <w:rFonts w:hint="cs"/>
          <w:rtl/>
        </w:rPr>
      </w:pPr>
      <w:r w:rsidRPr="008C0FB5">
        <w:rPr>
          <w:rFonts w:hint="cs"/>
          <w:rtl/>
        </w:rPr>
        <w:t xml:space="preserve">إن الباعث أمر متغير لا في كل نوع من العقود فحسب بل في كل عد على حدة فيختلف الباعث في العقد الواحد نظراً لتعدد البواعث الدافعة للتعاقد لدى المتعاقد </w:t>
      </w:r>
      <w:proofErr w:type="gramStart"/>
      <w:r w:rsidRPr="008C0FB5">
        <w:rPr>
          <w:rFonts w:hint="cs"/>
          <w:rtl/>
        </w:rPr>
        <w:t>واختلافها</w:t>
      </w:r>
      <w:r w:rsidRPr="008C0FB5">
        <w:rPr>
          <w:rFonts w:cs="Saihat" w:hint="cs"/>
          <w:vertAlign w:val="superscript"/>
          <w:rtl/>
        </w:rPr>
        <w:t>(</w:t>
      </w:r>
      <w:proofErr w:type="gramEnd"/>
      <w:r w:rsidRPr="008C0FB5">
        <w:rPr>
          <w:rFonts w:cs="Saihat"/>
          <w:vertAlign w:val="superscript"/>
          <w:rtl/>
        </w:rPr>
        <w:footnoteReference w:id="15"/>
      </w:r>
      <w:r w:rsidRPr="008C0FB5">
        <w:rPr>
          <w:rFonts w:cs="Saihat" w:hint="cs"/>
          <w:vertAlign w:val="superscript"/>
          <w:rtl/>
        </w:rPr>
        <w:t>)</w:t>
      </w:r>
      <w:r w:rsidRPr="008C0FB5">
        <w:rPr>
          <w:rFonts w:hint="cs"/>
          <w:rtl/>
        </w:rPr>
        <w:t>. فقد يكون الباعث الذي يدفع البائع إلى التعاقد على نقل ملكية شيء يملكه مقابل حصوله على الثمن الذي يلتزم المشتري بدفعه هو الرغبة بسداد دين عليه أو عدم حاجته إلى ذلك الشيء أو رغبة في شراء شيء جديد بدلاً منه أو غير ذلك من البواعث التي لا يمكن حصرها.</w:t>
      </w:r>
    </w:p>
    <w:p w14:paraId="6E1EF367" w14:textId="77777777" w:rsidR="009A1071" w:rsidRPr="008C0FB5" w:rsidRDefault="00481D39" w:rsidP="00FD4D6B">
      <w:pPr>
        <w:pStyle w:val="35"/>
        <w:rPr>
          <w:rtl/>
        </w:rPr>
      </w:pPr>
      <w:r w:rsidRPr="008C0FB5">
        <w:rPr>
          <w:rFonts w:hint="cs"/>
          <w:rtl/>
        </w:rPr>
        <w:t>وعلى هذا يتبين لنا ان الباعث معياره ذاتي شخصي بخلاف السبب القصدي فان معياره موضوعي ذلك لأن الباعث أمر مستكن في خفايا الضمير ومادام كذلك، فلابد من ضابط له حتى لا يكون سبباً في تزعزع المعاملات وعدم استقرارها، ونرجئ الكلام عن معيار الباعث وضابطه على الفصل الثاني من هذا الباب.</w:t>
      </w:r>
      <w:r w:rsidR="00E44FCC" w:rsidRPr="008C0FB5">
        <w:rPr>
          <w:rtl/>
        </w:rPr>
        <w:t xml:space="preserve"> </w:t>
      </w:r>
    </w:p>
    <w:p w14:paraId="346CA251" w14:textId="77777777" w:rsidR="00481D39" w:rsidRPr="008C0FB5" w:rsidRDefault="00E634C5" w:rsidP="00C253D0">
      <w:pPr>
        <w:pStyle w:val="a1"/>
        <w:rPr>
          <w:rFonts w:hint="cs"/>
          <w:rtl/>
        </w:rPr>
      </w:pPr>
      <w:r w:rsidRPr="008C0FB5">
        <w:rPr>
          <w:rtl/>
        </w:rPr>
        <w:br w:type="page"/>
      </w:r>
      <w:bookmarkStart w:id="36" w:name="_Toc8643628"/>
      <w:r w:rsidR="009A1071" w:rsidRPr="008C0FB5">
        <w:rPr>
          <w:rtl/>
        </w:rPr>
        <w:lastRenderedPageBreak/>
        <w:t>المطلب الثاني</w:t>
      </w:r>
      <w:r w:rsidR="00FD70E3" w:rsidRPr="008C0FB5">
        <w:rPr>
          <w:rtl/>
        </w:rPr>
        <w:t xml:space="preserve">: </w:t>
      </w:r>
      <w:r w:rsidR="00481D39" w:rsidRPr="008C0FB5">
        <w:rPr>
          <w:rFonts w:hint="cs"/>
          <w:rtl/>
        </w:rPr>
        <w:t>شروط الباعث</w:t>
      </w:r>
      <w:bookmarkEnd w:id="36"/>
    </w:p>
    <w:p w14:paraId="469BC67B" w14:textId="77777777" w:rsidR="00481D39" w:rsidRPr="008C0FB5" w:rsidRDefault="009A1071" w:rsidP="00FD4D6B">
      <w:pPr>
        <w:pStyle w:val="48"/>
        <w:rPr>
          <w:rFonts w:hint="cs"/>
          <w:rtl/>
        </w:rPr>
      </w:pPr>
      <w:r w:rsidRPr="008C0FB5">
        <w:rPr>
          <w:rtl/>
        </w:rPr>
        <w:t xml:space="preserve"> </w:t>
      </w:r>
      <w:r w:rsidR="00481D39" w:rsidRPr="008C0FB5">
        <w:rPr>
          <w:rFonts w:hint="cs"/>
          <w:rtl/>
        </w:rPr>
        <w:t>إذا كان سبب الالتزام يشترط فيه ثلاثة شروط، هي أن يكون موجوداً وصحيحاً ومشروعاً، وإن كنا قد رأينا ان الشرطين الأخيرين لا محل لهما في نظرية السبب التقليدية، فاندمج الشرط الثاني في الشرط الأول، أما الشرط الثالث فلا يمكن تصور تخلفه ولذلك فلا محل له في السبب التقليدي.</w:t>
      </w:r>
    </w:p>
    <w:p w14:paraId="611A3A58" w14:textId="77777777" w:rsidR="00481D39" w:rsidRPr="008C0FB5" w:rsidRDefault="00481D39" w:rsidP="00FD4D6B">
      <w:pPr>
        <w:pStyle w:val="35"/>
        <w:rPr>
          <w:rFonts w:hint="cs"/>
          <w:rtl/>
        </w:rPr>
      </w:pPr>
      <w:r w:rsidRPr="008C0FB5">
        <w:rPr>
          <w:rFonts w:hint="cs"/>
          <w:rtl/>
        </w:rPr>
        <w:t>فان الباعث لا يشترط فيه إلا شرطاً واحداً وهو المشروعية (أي مشروعية الباعث) ذلك ان الباعث لا يمكن أن يكون غير موجوداً لأنه لا يتصور انها تتجه الإرادة إلى التعاقد دون أن يكون لها باعث إلا إذا صدر التصرف من شخص عديم التمييز.</w:t>
      </w:r>
    </w:p>
    <w:p w14:paraId="463D1DC1" w14:textId="77777777" w:rsidR="00481D39" w:rsidRPr="008C0FB5" w:rsidRDefault="00481D39" w:rsidP="00FD4D6B">
      <w:pPr>
        <w:pStyle w:val="35"/>
        <w:rPr>
          <w:rFonts w:hint="cs"/>
          <w:rtl/>
        </w:rPr>
      </w:pPr>
      <w:r w:rsidRPr="008C0FB5">
        <w:rPr>
          <w:rFonts w:hint="cs"/>
          <w:rtl/>
        </w:rPr>
        <w:t xml:space="preserve">أما عن شرط الصحة فان الاتجاه السائد في الفقه الفرنسي أصبح يميل إلى هجر فكرة انعدام السبب وعدم صحته والاستغناء عنها بنظرية الغلط لإبطال العقد لأن السبب غير الصحيح ليس إلا غلطاً في وجود </w:t>
      </w:r>
      <w:proofErr w:type="gramStart"/>
      <w:r w:rsidRPr="008C0FB5">
        <w:rPr>
          <w:rFonts w:hint="cs"/>
          <w:rtl/>
        </w:rPr>
        <w:t>الشيء</w:t>
      </w:r>
      <w:r w:rsidRPr="008C0FB5">
        <w:rPr>
          <w:rFonts w:cs="Saihat" w:hint="cs"/>
          <w:vertAlign w:val="superscript"/>
          <w:rtl/>
        </w:rPr>
        <w:t>(</w:t>
      </w:r>
      <w:proofErr w:type="gramEnd"/>
      <w:r w:rsidRPr="008C0FB5">
        <w:rPr>
          <w:rFonts w:cs="Saihat"/>
          <w:vertAlign w:val="superscript"/>
          <w:rtl/>
        </w:rPr>
        <w:footnoteReference w:id="16"/>
      </w:r>
      <w:r w:rsidRPr="008C0FB5">
        <w:rPr>
          <w:rFonts w:cs="Saihat" w:hint="cs"/>
          <w:vertAlign w:val="superscript"/>
          <w:rtl/>
        </w:rPr>
        <w:t>)</w:t>
      </w:r>
      <w:r w:rsidRPr="008C0FB5">
        <w:rPr>
          <w:rFonts w:hint="cs"/>
          <w:vertAlign w:val="superscript"/>
          <w:rtl/>
        </w:rPr>
        <w:t xml:space="preserve"> </w:t>
      </w:r>
      <w:r w:rsidRPr="008C0FB5">
        <w:rPr>
          <w:rFonts w:hint="cs"/>
          <w:rtl/>
        </w:rPr>
        <w:t>.</w:t>
      </w:r>
    </w:p>
    <w:p w14:paraId="31AB6283" w14:textId="77777777" w:rsidR="00481D39" w:rsidRPr="008C0FB5" w:rsidRDefault="00481D39" w:rsidP="00FD4D6B">
      <w:pPr>
        <w:pStyle w:val="35"/>
        <w:rPr>
          <w:rFonts w:hint="cs"/>
          <w:rtl/>
        </w:rPr>
      </w:pPr>
      <w:r w:rsidRPr="008C0FB5">
        <w:rPr>
          <w:rFonts w:hint="cs"/>
          <w:rtl/>
        </w:rPr>
        <w:t xml:space="preserve">أما مشروعية الباعث فهو الشرط الوحيد الذي يجب توفره حتى يكون العقد صحيحاً، ومعظم الفقهاء عندما يتكلمون عن هذا الشرط يفسرونه على انه ما يكون موافقاً للنظام العام </w:t>
      </w:r>
      <w:proofErr w:type="gramStart"/>
      <w:r w:rsidRPr="008C0FB5">
        <w:rPr>
          <w:rFonts w:hint="cs"/>
          <w:rtl/>
        </w:rPr>
        <w:t>والآداب</w:t>
      </w:r>
      <w:r w:rsidRPr="008C0FB5">
        <w:rPr>
          <w:rFonts w:cs="Saihat" w:hint="cs"/>
          <w:vertAlign w:val="superscript"/>
          <w:rtl/>
        </w:rPr>
        <w:t>(</w:t>
      </w:r>
      <w:proofErr w:type="gramEnd"/>
      <w:r w:rsidRPr="008C0FB5">
        <w:rPr>
          <w:rFonts w:cs="Saihat"/>
          <w:vertAlign w:val="superscript"/>
          <w:rtl/>
        </w:rPr>
        <w:footnoteReference w:id="17"/>
      </w:r>
      <w:r w:rsidRPr="008C0FB5">
        <w:rPr>
          <w:rFonts w:cs="Saihat" w:hint="cs"/>
          <w:vertAlign w:val="superscript"/>
          <w:rtl/>
        </w:rPr>
        <w:t>)</w:t>
      </w:r>
      <w:r w:rsidRPr="008C0FB5">
        <w:rPr>
          <w:rFonts w:hint="cs"/>
          <w:rtl/>
        </w:rPr>
        <w:t xml:space="preserve"> وأي باعث يخالف أحدهما يعتبر غير مشروع، ولكن ما هو النظام العام والآداب، الجواب على ذلك هو ان فكرة النظام العام والآداب فكرة يصعب تحديدها ولذا يكتفي المشرعون عادة بالنص عليها تاركين أمر تحديدها للفقه والقضاء</w:t>
      </w:r>
      <w:r w:rsidRPr="008C0FB5">
        <w:rPr>
          <w:rFonts w:cs="Saihat" w:hint="cs"/>
          <w:vertAlign w:val="superscript"/>
          <w:rtl/>
        </w:rPr>
        <w:t>(</w:t>
      </w:r>
      <w:r w:rsidRPr="008C0FB5">
        <w:rPr>
          <w:rFonts w:cs="Saihat"/>
          <w:vertAlign w:val="superscript"/>
          <w:rtl/>
        </w:rPr>
        <w:footnoteReference w:id="18"/>
      </w:r>
      <w:r w:rsidRPr="008C0FB5">
        <w:rPr>
          <w:rFonts w:cs="Saihat" w:hint="cs"/>
          <w:vertAlign w:val="superscript"/>
          <w:rtl/>
        </w:rPr>
        <w:t>)</w:t>
      </w:r>
      <w:r w:rsidRPr="008C0FB5">
        <w:rPr>
          <w:rFonts w:hint="cs"/>
          <w:rtl/>
        </w:rPr>
        <w:t xml:space="preserve"> وهذا ما فعله القانون المدني العراقي في المادة (130/1)</w:t>
      </w:r>
      <w:r w:rsidRPr="008C0FB5">
        <w:rPr>
          <w:rFonts w:cs="Saihat" w:hint="cs"/>
          <w:vertAlign w:val="superscript"/>
          <w:rtl/>
        </w:rPr>
        <w:t>(</w:t>
      </w:r>
      <w:r w:rsidRPr="008C0FB5">
        <w:rPr>
          <w:rFonts w:cs="Saihat"/>
          <w:vertAlign w:val="superscript"/>
          <w:rtl/>
        </w:rPr>
        <w:footnoteReference w:id="19"/>
      </w:r>
      <w:r w:rsidRPr="008C0FB5">
        <w:rPr>
          <w:rFonts w:cs="Saihat" w:hint="cs"/>
          <w:vertAlign w:val="superscript"/>
          <w:rtl/>
        </w:rPr>
        <w:t>)</w:t>
      </w:r>
      <w:r w:rsidRPr="008C0FB5">
        <w:rPr>
          <w:rFonts w:hint="cs"/>
          <w:rtl/>
        </w:rPr>
        <w:t xml:space="preserve">. </w:t>
      </w:r>
    </w:p>
    <w:p w14:paraId="16EEF690" w14:textId="77777777" w:rsidR="00481D39" w:rsidRPr="008C0FB5" w:rsidRDefault="00481D39" w:rsidP="00FD4D6B">
      <w:pPr>
        <w:pStyle w:val="35"/>
        <w:rPr>
          <w:rFonts w:hint="cs"/>
          <w:rtl/>
        </w:rPr>
      </w:pPr>
      <w:r w:rsidRPr="008C0FB5">
        <w:rPr>
          <w:rFonts w:hint="cs"/>
          <w:rtl/>
        </w:rPr>
        <w:t xml:space="preserve">وقد أشارت الفقرة الثانية من نفس المادة إلى بعض التطبيقات لفكرة النظام العام.  </w:t>
      </w:r>
    </w:p>
    <w:p w14:paraId="6875A3EA" w14:textId="77777777" w:rsidR="00481D39" w:rsidRPr="008C0FB5" w:rsidRDefault="00481D39" w:rsidP="00E634C5">
      <w:pPr>
        <w:pStyle w:val="35"/>
        <w:spacing w:line="240" w:lineRule="auto"/>
        <w:rPr>
          <w:rFonts w:hint="cs"/>
          <w:rtl/>
        </w:rPr>
      </w:pPr>
      <w:r w:rsidRPr="008C0FB5">
        <w:rPr>
          <w:rFonts w:hint="cs"/>
          <w:rtl/>
        </w:rPr>
        <w:t xml:space="preserve">وبصفة عامة يمكن القول إن النظام العام عبارة عن مجموعة المصالح التي يقوم عليها كيان المجتمع سواء أكانت هذه المصالح اقتصادية أم اجتماعية أم سياسية فكل ما يمس كيان الدولة سياسياً كممارسة الدولة سيادتها بواسطة سلطاتها، أو اجتماعياً كحفظ الأمن والنظام وسلامة الأسرة، أو اقتصادياً كالذي يتعلق بالعملة وقيمتها وتداولها والناتج العام، كل هذه المصالح تعد من النظام </w:t>
      </w:r>
      <w:proofErr w:type="gramStart"/>
      <w:r w:rsidRPr="008C0FB5">
        <w:rPr>
          <w:rFonts w:hint="cs"/>
          <w:rtl/>
        </w:rPr>
        <w:t>العام</w:t>
      </w:r>
      <w:r w:rsidRPr="008C0FB5">
        <w:rPr>
          <w:rFonts w:cs="Saihat" w:hint="cs"/>
          <w:vertAlign w:val="superscript"/>
          <w:rtl/>
        </w:rPr>
        <w:t>(</w:t>
      </w:r>
      <w:proofErr w:type="gramEnd"/>
      <w:r w:rsidRPr="008C0FB5">
        <w:rPr>
          <w:rFonts w:cs="Saihat"/>
          <w:vertAlign w:val="superscript"/>
          <w:rtl/>
        </w:rPr>
        <w:footnoteReference w:id="20"/>
      </w:r>
      <w:r w:rsidRPr="008C0FB5">
        <w:rPr>
          <w:rFonts w:cs="Saihat" w:hint="cs"/>
          <w:vertAlign w:val="superscript"/>
          <w:rtl/>
        </w:rPr>
        <w:t>)</w:t>
      </w:r>
      <w:r w:rsidRPr="008C0FB5">
        <w:rPr>
          <w:rFonts w:hint="cs"/>
          <w:rtl/>
        </w:rPr>
        <w:t>.</w:t>
      </w:r>
    </w:p>
    <w:p w14:paraId="041E2B4B" w14:textId="77777777" w:rsidR="00481D39" w:rsidRPr="008C0FB5" w:rsidRDefault="00481D39" w:rsidP="00FD4D6B">
      <w:pPr>
        <w:pStyle w:val="35"/>
        <w:rPr>
          <w:rFonts w:hint="cs"/>
          <w:rtl/>
        </w:rPr>
      </w:pPr>
      <w:r w:rsidRPr="008C0FB5">
        <w:rPr>
          <w:rFonts w:hint="cs"/>
          <w:rtl/>
        </w:rPr>
        <w:t xml:space="preserve">أما الآداب فهي القواعد الخلقية التي يقوم عليها المجتمع في زمن معين وبيئة معينة، والذي نعنيه هنا ليس كل القواعد الخلقية وإنما على الأقل ما يلزم لحفظ المجتمع من </w:t>
      </w:r>
      <w:proofErr w:type="gramStart"/>
      <w:r w:rsidRPr="008C0FB5">
        <w:rPr>
          <w:rFonts w:hint="cs"/>
          <w:rtl/>
        </w:rPr>
        <w:t>الإخلال</w:t>
      </w:r>
      <w:r w:rsidRPr="008C0FB5">
        <w:rPr>
          <w:rFonts w:cs="Saihat" w:hint="cs"/>
          <w:vertAlign w:val="superscript"/>
          <w:rtl/>
        </w:rPr>
        <w:t>(</w:t>
      </w:r>
      <w:proofErr w:type="gramEnd"/>
      <w:r w:rsidRPr="008C0FB5">
        <w:rPr>
          <w:rFonts w:cs="Saihat"/>
          <w:vertAlign w:val="superscript"/>
          <w:rtl/>
        </w:rPr>
        <w:footnoteReference w:id="21"/>
      </w:r>
      <w:r w:rsidRPr="008C0FB5">
        <w:rPr>
          <w:rFonts w:cs="Saihat" w:hint="cs"/>
          <w:vertAlign w:val="superscript"/>
          <w:rtl/>
        </w:rPr>
        <w:t>)</w:t>
      </w:r>
      <w:r w:rsidRPr="008C0FB5">
        <w:rPr>
          <w:rFonts w:hint="cs"/>
          <w:rtl/>
        </w:rPr>
        <w:t>.</w:t>
      </w:r>
    </w:p>
    <w:p w14:paraId="146F8336" w14:textId="77777777" w:rsidR="00481D39" w:rsidRPr="008C0FB5" w:rsidRDefault="00481D39" w:rsidP="00E634C5">
      <w:pPr>
        <w:pStyle w:val="35"/>
        <w:spacing w:line="240" w:lineRule="auto"/>
        <w:rPr>
          <w:rFonts w:hint="cs"/>
          <w:rtl/>
        </w:rPr>
      </w:pPr>
      <w:r w:rsidRPr="008C0FB5">
        <w:rPr>
          <w:rFonts w:hint="cs"/>
          <w:rtl/>
        </w:rPr>
        <w:t xml:space="preserve">وفكرة النظام العام والآداب، فكرة نسبية، تختلف من زمن لآخر ومن بيئة لأخرى حسب </w:t>
      </w:r>
      <w:r w:rsidRPr="008C0FB5">
        <w:rPr>
          <w:rFonts w:hint="cs"/>
          <w:rtl/>
        </w:rPr>
        <w:lastRenderedPageBreak/>
        <w:t xml:space="preserve">الفكر السائد في المجتمع، فمثلاً في ظل الفكر الاشتراكي تتسع فكرة النظام العام، نظراً لأن مصلحة المجتمع وفقاً لهذه الأفكار هي المقدمة على مصالح الأفراد ومن ثم تكثر القواعد الآمرة التي لا يجوز للأفراد الاتفاق على </w:t>
      </w:r>
      <w:proofErr w:type="gramStart"/>
      <w:r w:rsidRPr="008C0FB5">
        <w:rPr>
          <w:rFonts w:hint="cs"/>
          <w:rtl/>
        </w:rPr>
        <w:t>مخالفتها</w:t>
      </w:r>
      <w:r w:rsidRPr="008C0FB5">
        <w:rPr>
          <w:rFonts w:cs="Saihat" w:hint="cs"/>
          <w:vertAlign w:val="superscript"/>
          <w:rtl/>
        </w:rPr>
        <w:t>(</w:t>
      </w:r>
      <w:proofErr w:type="gramEnd"/>
      <w:r w:rsidRPr="008C0FB5">
        <w:rPr>
          <w:rFonts w:cs="Saihat"/>
          <w:vertAlign w:val="superscript"/>
          <w:rtl/>
        </w:rPr>
        <w:footnoteReference w:id="22"/>
      </w:r>
      <w:r w:rsidRPr="008C0FB5">
        <w:rPr>
          <w:rFonts w:cs="Saihat" w:hint="cs"/>
          <w:vertAlign w:val="superscript"/>
          <w:rtl/>
        </w:rPr>
        <w:t>)</w:t>
      </w:r>
      <w:r w:rsidRPr="008C0FB5">
        <w:rPr>
          <w:rFonts w:hint="cs"/>
          <w:rtl/>
        </w:rPr>
        <w:t>.</w:t>
      </w:r>
    </w:p>
    <w:p w14:paraId="1509737B" w14:textId="77777777" w:rsidR="00481D39" w:rsidRPr="008C0FB5" w:rsidRDefault="00481D39" w:rsidP="00FD4D6B">
      <w:pPr>
        <w:pStyle w:val="35"/>
        <w:rPr>
          <w:rFonts w:hint="cs"/>
          <w:rtl/>
        </w:rPr>
      </w:pPr>
      <w:r w:rsidRPr="008C0FB5">
        <w:rPr>
          <w:rFonts w:hint="cs"/>
          <w:rtl/>
        </w:rPr>
        <w:t xml:space="preserve">ولكن على العكس من ذلك تضيق هذه الفكرة في ظل المذهب الفردي، ذلك ان الفرد في ظل هذا الفكر هو محوره حتى ولو جاء على حساب المصلحة العامة للمجتمع وبالتالي يقل وجود القواعد الآمرة التي تحد من حرية </w:t>
      </w:r>
      <w:proofErr w:type="gramStart"/>
      <w:r w:rsidRPr="008C0FB5">
        <w:rPr>
          <w:rFonts w:hint="cs"/>
          <w:rtl/>
        </w:rPr>
        <w:t>الفرد</w:t>
      </w:r>
      <w:r w:rsidRPr="008C0FB5">
        <w:rPr>
          <w:rFonts w:cs="Saihat" w:hint="cs"/>
          <w:vertAlign w:val="superscript"/>
          <w:rtl/>
        </w:rPr>
        <w:t>(</w:t>
      </w:r>
      <w:proofErr w:type="gramEnd"/>
      <w:r w:rsidRPr="008C0FB5">
        <w:rPr>
          <w:rFonts w:cs="Saihat"/>
          <w:vertAlign w:val="superscript"/>
          <w:rtl/>
        </w:rPr>
        <w:footnoteReference w:id="23"/>
      </w:r>
      <w:r w:rsidRPr="008C0FB5">
        <w:rPr>
          <w:rFonts w:cs="Saihat" w:hint="cs"/>
          <w:vertAlign w:val="superscript"/>
          <w:rtl/>
        </w:rPr>
        <w:t>)</w:t>
      </w:r>
      <w:r w:rsidRPr="008C0FB5">
        <w:rPr>
          <w:rFonts w:hint="cs"/>
          <w:rtl/>
        </w:rPr>
        <w:t>.</w:t>
      </w:r>
    </w:p>
    <w:p w14:paraId="269FE664" w14:textId="77777777" w:rsidR="00481D39" w:rsidRPr="008C0FB5" w:rsidRDefault="00481D39" w:rsidP="00FD4D6B">
      <w:pPr>
        <w:pStyle w:val="35"/>
        <w:rPr>
          <w:rFonts w:hint="cs"/>
          <w:rtl/>
        </w:rPr>
      </w:pPr>
      <w:r w:rsidRPr="008C0FB5">
        <w:rPr>
          <w:rFonts w:hint="cs"/>
          <w:rtl/>
        </w:rPr>
        <w:t xml:space="preserve">ومن ذلك كله يتبين لنا ان مفهوم المشروعية يرتبط </w:t>
      </w:r>
      <w:r w:rsidRPr="008C0FB5">
        <w:rPr>
          <w:rFonts w:ascii="Times New Roman" w:hAnsi="Times New Roman" w:cs="Times New Roman" w:hint="cs"/>
          <w:rtl/>
        </w:rPr>
        <w:t>–</w:t>
      </w:r>
      <w:r w:rsidRPr="008C0FB5">
        <w:rPr>
          <w:rFonts w:hint="cs"/>
          <w:rtl/>
        </w:rPr>
        <w:t xml:space="preserve"> استناداً لأصحاب هذا الرأي </w:t>
      </w:r>
      <w:r w:rsidRPr="008C0FB5">
        <w:rPr>
          <w:rFonts w:ascii="Times New Roman" w:hAnsi="Times New Roman" w:cs="Times New Roman" w:hint="cs"/>
          <w:rtl/>
        </w:rPr>
        <w:t>–</w:t>
      </w:r>
      <w:r w:rsidRPr="008C0FB5">
        <w:rPr>
          <w:rFonts w:hint="cs"/>
          <w:rtl/>
        </w:rPr>
        <w:t xml:space="preserve"> بمفهوم المصلحة العامة. حيث ان المشروعية في هذه الحالة، هي لحماية المصالح العامة وضمان عدم إلحاق الضرر بها، غير ان أخذ مفهوم المشروعية على هذا النحو والنظر من خلالها لحماية المصالح العامة، ودون الالتفات لحماية المصالح الخاصة مباشرة يعد تقييداً لفكرة موسعة للمشروعية يمكن من خلالها حماية المصالح الخاصة.</w:t>
      </w:r>
    </w:p>
    <w:p w14:paraId="5F56405A" w14:textId="77777777" w:rsidR="00481D39" w:rsidRPr="008C0FB5" w:rsidRDefault="00481D39" w:rsidP="00FD4D6B">
      <w:pPr>
        <w:pStyle w:val="35"/>
        <w:rPr>
          <w:rFonts w:hint="cs"/>
          <w:rtl/>
        </w:rPr>
      </w:pPr>
      <w:r w:rsidRPr="008C0FB5">
        <w:rPr>
          <w:rFonts w:hint="cs"/>
          <w:rtl/>
        </w:rPr>
        <w:t>وان الرأي الراجح عندنا هو ان فكرة المشروعية تشتمل على حماية المصالح العامة والخاصة على حد سواء، لا بل ان المشروعية بهذه الصورة هي التي تحدد حسن أو سوء الباعث على التعاقد، وبغير هذا التصوير فان هذه الفكرة تعتبر قاصرة عن حماية المصالح الخاصة. ولذلك كله فقد مال المشرع العراقي للسير بهدي هذه الفكرة الموسعة، وإن لم نتلمس وضوحها في الأحكام القانونية غير ان ملامحها العامة وجودة في نصوص عدة.</w:t>
      </w:r>
    </w:p>
    <w:p w14:paraId="0AEF951D" w14:textId="77777777" w:rsidR="00481D39" w:rsidRPr="008C0FB5" w:rsidRDefault="00481D39" w:rsidP="00FD4D6B">
      <w:pPr>
        <w:pStyle w:val="35"/>
        <w:rPr>
          <w:rFonts w:hint="cs"/>
          <w:rtl/>
        </w:rPr>
      </w:pPr>
      <w:r w:rsidRPr="008C0FB5">
        <w:rPr>
          <w:rFonts w:hint="cs"/>
          <w:rtl/>
        </w:rPr>
        <w:t xml:space="preserve">ونص القانون المدني العراقي على إساءة استعمال </w:t>
      </w:r>
      <w:proofErr w:type="gramStart"/>
      <w:r w:rsidRPr="008C0FB5">
        <w:rPr>
          <w:rFonts w:hint="cs"/>
          <w:rtl/>
        </w:rPr>
        <w:t>الحق</w:t>
      </w:r>
      <w:r w:rsidRPr="008C0FB5">
        <w:rPr>
          <w:rFonts w:cs="Saihat" w:hint="cs"/>
          <w:vertAlign w:val="superscript"/>
          <w:rtl/>
        </w:rPr>
        <w:t>(</w:t>
      </w:r>
      <w:proofErr w:type="gramEnd"/>
      <w:r w:rsidRPr="008C0FB5">
        <w:rPr>
          <w:rFonts w:cs="Saihat"/>
          <w:vertAlign w:val="superscript"/>
          <w:rtl/>
        </w:rPr>
        <w:footnoteReference w:id="24"/>
      </w:r>
      <w:r w:rsidRPr="008C0FB5">
        <w:rPr>
          <w:rFonts w:cs="Saihat" w:hint="cs"/>
          <w:vertAlign w:val="superscript"/>
          <w:rtl/>
        </w:rPr>
        <w:t>)</w:t>
      </w:r>
      <w:r w:rsidRPr="008C0FB5">
        <w:rPr>
          <w:rFonts w:hint="cs"/>
          <w:rtl/>
        </w:rPr>
        <w:t xml:space="preserve"> واعتباره انه متوفر بتوافر قصد التعدي أي يعتبر الشخص قد استعمل حقه استعمالاً غير مشروع إذا كان القصد من هذا الاستعمال هو الإضرار بمصلحة شخص آخر</w:t>
      </w:r>
      <w:r w:rsidRPr="008C0FB5">
        <w:rPr>
          <w:rFonts w:cs="Saihat" w:hint="cs"/>
          <w:vertAlign w:val="superscript"/>
          <w:rtl/>
        </w:rPr>
        <w:t>(</w:t>
      </w:r>
      <w:r w:rsidRPr="008C0FB5">
        <w:rPr>
          <w:rFonts w:cs="Saihat"/>
          <w:vertAlign w:val="superscript"/>
          <w:rtl/>
        </w:rPr>
        <w:footnoteReference w:id="25"/>
      </w:r>
      <w:r w:rsidRPr="008C0FB5">
        <w:rPr>
          <w:rFonts w:cs="Saihat" w:hint="cs"/>
          <w:vertAlign w:val="superscript"/>
          <w:rtl/>
        </w:rPr>
        <w:t>)</w:t>
      </w:r>
      <w:r w:rsidRPr="008C0FB5">
        <w:rPr>
          <w:rFonts w:hint="cs"/>
          <w:rtl/>
        </w:rPr>
        <w:t>.</w:t>
      </w:r>
    </w:p>
    <w:p w14:paraId="243839E7" w14:textId="77777777" w:rsidR="00481D39" w:rsidRPr="008C0FB5" w:rsidRDefault="00481D39" w:rsidP="00FD4D6B">
      <w:pPr>
        <w:pStyle w:val="35"/>
        <w:rPr>
          <w:rFonts w:hint="cs"/>
          <w:rtl/>
        </w:rPr>
      </w:pPr>
      <w:r w:rsidRPr="008C0FB5">
        <w:rPr>
          <w:rFonts w:hint="cs"/>
          <w:rtl/>
        </w:rPr>
        <w:t xml:space="preserve">يؤكد ان الباعث الذي يكون مضمونه إلحاق الضرر بالغير يعتبر غير مشروع وهو اتجاه مهم لتأكيد ان ما يخالف ويعارض المصالح الفردية المشروعة يعتبر غير مشروع بدوره. ولكن المهم هنا ملاحظة انه إذا كان المقصود من العقد أو الدافع إلى العقد هو إلحاق الضرر بمصلحة شخص معين، فان الباعث يعتبر غير مشروع ودون النظر إلى المصلحة العامة </w:t>
      </w:r>
    </w:p>
    <w:p w14:paraId="1C120785" w14:textId="77777777" w:rsidR="00481D39" w:rsidRPr="008C0FB5" w:rsidRDefault="00481D39" w:rsidP="00A613BA">
      <w:pPr>
        <w:pStyle w:val="afffffff1"/>
        <w:rPr>
          <w:rFonts w:hint="cs"/>
          <w:rtl/>
        </w:rPr>
      </w:pPr>
      <w:r w:rsidRPr="008C0FB5">
        <w:rPr>
          <w:rFonts w:hint="cs"/>
          <w:rtl/>
        </w:rPr>
        <w:t xml:space="preserve">إن كان تصرفه يخالف النظام العام أو الآداب العامة أم لا </w:t>
      </w:r>
    </w:p>
    <w:p w14:paraId="7AB7406C" w14:textId="77777777" w:rsidR="00481D39" w:rsidRPr="008C0FB5" w:rsidRDefault="00481D39" w:rsidP="00FD4D6B">
      <w:pPr>
        <w:pStyle w:val="35"/>
        <w:rPr>
          <w:rFonts w:hint="cs"/>
          <w:rtl/>
        </w:rPr>
      </w:pPr>
      <w:r w:rsidRPr="008C0FB5">
        <w:rPr>
          <w:rFonts w:hint="cs"/>
          <w:rtl/>
        </w:rPr>
        <w:t>حيث ان المصلحة المحمية هنا هي المصلحة الخاصة بالمرتبة الأولى وليست المصلحة العامة.</w:t>
      </w:r>
    </w:p>
    <w:p w14:paraId="632F5788" w14:textId="77777777" w:rsidR="00481D39" w:rsidRPr="008C0FB5" w:rsidRDefault="00481D39" w:rsidP="00FD4D6B">
      <w:pPr>
        <w:pStyle w:val="35"/>
        <w:rPr>
          <w:rFonts w:hint="cs"/>
          <w:rtl/>
        </w:rPr>
      </w:pPr>
      <w:r w:rsidRPr="008C0FB5">
        <w:rPr>
          <w:rFonts w:hint="cs"/>
          <w:rtl/>
        </w:rPr>
        <w:t xml:space="preserve">ويلاحظ ان المشروعية لها بُعد قانوني وآخر أخلاقي، فالجانب القانوني يتمثل بالنظام العام، </w:t>
      </w:r>
      <w:r w:rsidRPr="008C0FB5">
        <w:rPr>
          <w:rFonts w:hint="cs"/>
          <w:rtl/>
        </w:rPr>
        <w:lastRenderedPageBreak/>
        <w:t xml:space="preserve">أما الجانب الأخلاقي وكما ذهب جانب من الفقه فهو ما يتعلق بالآداب </w:t>
      </w:r>
      <w:proofErr w:type="gramStart"/>
      <w:r w:rsidRPr="008C0FB5">
        <w:rPr>
          <w:rFonts w:hint="cs"/>
          <w:rtl/>
        </w:rPr>
        <w:t>العامة</w:t>
      </w:r>
      <w:r w:rsidRPr="008C0FB5">
        <w:rPr>
          <w:rFonts w:cs="Saihat" w:hint="cs"/>
          <w:vertAlign w:val="superscript"/>
          <w:rtl/>
        </w:rPr>
        <w:t>(</w:t>
      </w:r>
      <w:proofErr w:type="gramEnd"/>
      <w:r w:rsidRPr="008C0FB5">
        <w:rPr>
          <w:rFonts w:cs="Saihat"/>
          <w:vertAlign w:val="superscript"/>
          <w:rtl/>
        </w:rPr>
        <w:footnoteReference w:id="26"/>
      </w:r>
      <w:r w:rsidRPr="008C0FB5">
        <w:rPr>
          <w:rFonts w:cs="Saihat" w:hint="cs"/>
          <w:vertAlign w:val="superscript"/>
          <w:rtl/>
        </w:rPr>
        <w:t>)</w:t>
      </w:r>
      <w:r w:rsidRPr="008C0FB5">
        <w:rPr>
          <w:rFonts w:hint="cs"/>
          <w:rtl/>
        </w:rPr>
        <w:t xml:space="preserve">. كما ان للمشروعية بُعد يهتم بالمصالح العامة وآخر بالمصالح الشخصية. وهذا ما يبرر كون المشروعية تمثل الباعث الحسن عند التعاقد. حيث ان البعد الشخصي وحماية المصالح الخاصة هي المعيار الشخصي في حسن الباعث، ويظهر المعيار الشخصي في نية الإضرار من خلال قصد التعدي، وهو معيار ذاتي استقر عليه الفقه الإسلامي والغربي على حد </w:t>
      </w:r>
      <w:proofErr w:type="gramStart"/>
      <w:r w:rsidRPr="008C0FB5">
        <w:rPr>
          <w:rFonts w:hint="cs"/>
          <w:rtl/>
        </w:rPr>
        <w:t>سواء</w:t>
      </w:r>
      <w:r w:rsidRPr="008C0FB5">
        <w:rPr>
          <w:rFonts w:cs="Saihat" w:hint="cs"/>
          <w:vertAlign w:val="superscript"/>
          <w:rtl/>
        </w:rPr>
        <w:t>(</w:t>
      </w:r>
      <w:proofErr w:type="gramEnd"/>
      <w:r w:rsidRPr="008C0FB5">
        <w:rPr>
          <w:rFonts w:cs="Saihat"/>
          <w:vertAlign w:val="superscript"/>
          <w:rtl/>
        </w:rPr>
        <w:footnoteReference w:id="27"/>
      </w:r>
      <w:r w:rsidRPr="008C0FB5">
        <w:rPr>
          <w:rFonts w:cs="Saihat" w:hint="cs"/>
          <w:vertAlign w:val="superscript"/>
          <w:rtl/>
        </w:rPr>
        <w:t>)</w:t>
      </w:r>
      <w:r w:rsidRPr="008C0FB5">
        <w:rPr>
          <w:rFonts w:hint="cs"/>
          <w:rtl/>
        </w:rPr>
        <w:t>.</w:t>
      </w:r>
    </w:p>
    <w:p w14:paraId="2A3DF69E" w14:textId="77777777" w:rsidR="00481D39" w:rsidRPr="008C0FB5" w:rsidRDefault="00481D39" w:rsidP="00FD4D6B">
      <w:pPr>
        <w:pStyle w:val="35"/>
        <w:rPr>
          <w:rFonts w:hint="cs"/>
          <w:rtl/>
        </w:rPr>
      </w:pPr>
      <w:r w:rsidRPr="008C0FB5">
        <w:rPr>
          <w:rFonts w:hint="cs"/>
          <w:rtl/>
        </w:rPr>
        <w:t xml:space="preserve">ونستنتج مما تقدم ان الباعث لا يشترط فيه إلا شرطاً واحداً وهو </w:t>
      </w:r>
      <w:proofErr w:type="gramStart"/>
      <w:r w:rsidRPr="008C0FB5">
        <w:rPr>
          <w:rFonts w:hint="cs"/>
          <w:rtl/>
        </w:rPr>
        <w:t>المشروعية</w:t>
      </w:r>
      <w:proofErr w:type="gramEnd"/>
      <w:r w:rsidRPr="008C0FB5">
        <w:rPr>
          <w:rFonts w:hint="cs"/>
          <w:rtl/>
        </w:rPr>
        <w:t xml:space="preserve"> ولكن المشروعية بمفهومها الموسع وليس المفهوم الشائع لها وهي بهذا المفهوم الواسع تشتمل على عدم مخالفة الباعث للمصلحة العامة (النظام العام والآداب) والمصلحة الخاصة على حد سواء ولذلك كان الأجدر بالمشرع العراقي النص عليها في المادة (136) مدني عراقي بدلاً من قصرها على المصلحة العامة (النظام العام والآداب) وذلك تحقيقاً لغاية سامية هي الحيلولة دون استغلال الإنسان لأخيه الإنسان تحت غطاء الحرية التعاقدية. </w:t>
      </w:r>
    </w:p>
    <w:p w14:paraId="262AC8B1" w14:textId="77777777" w:rsidR="00481D39" w:rsidRPr="008C0FB5" w:rsidRDefault="00E634C5" w:rsidP="00C253D0">
      <w:pPr>
        <w:pStyle w:val="a1"/>
        <w:rPr>
          <w:rFonts w:hint="cs"/>
          <w:rtl/>
        </w:rPr>
      </w:pPr>
      <w:r w:rsidRPr="008C0FB5">
        <w:rPr>
          <w:rtl/>
        </w:rPr>
        <w:br w:type="page"/>
      </w:r>
      <w:bookmarkStart w:id="37" w:name="_Toc8643629"/>
      <w:r w:rsidR="00481D39" w:rsidRPr="008C0FB5">
        <w:rPr>
          <w:rFonts w:hint="cs"/>
          <w:rtl/>
        </w:rPr>
        <w:lastRenderedPageBreak/>
        <w:t>المطلب الثالث: التمييز بين الباعث وما يشتبه به</w:t>
      </w:r>
      <w:bookmarkEnd w:id="37"/>
    </w:p>
    <w:p w14:paraId="5261F81B" w14:textId="77777777" w:rsidR="00481D39" w:rsidRPr="008C0FB5" w:rsidRDefault="00481D39" w:rsidP="00C253D0">
      <w:pPr>
        <w:pStyle w:val="48"/>
        <w:rPr>
          <w:rFonts w:hint="cs"/>
          <w:rtl/>
        </w:rPr>
      </w:pPr>
      <w:r w:rsidRPr="008C0FB5">
        <w:rPr>
          <w:rFonts w:hint="cs"/>
          <w:rtl/>
        </w:rPr>
        <w:t xml:space="preserve">لقد بيّنا سابقاً تعريف الباعث وبيّنا خصائصه ومشروعيته لذا يتعين علينا التمييز بينه وبين ما يشتبه به من الأنظمة القانونية الأخرى ولذلك فقد قسمنا هذا المطلب إلى فرعين نتناول في أولهما التمييز بين الباعث والمحل وفي ثانيهما نبحث التمييز بينه وبين السبب القصدي.  </w:t>
      </w:r>
    </w:p>
    <w:p w14:paraId="1377FA6E" w14:textId="77777777" w:rsidR="00481D39" w:rsidRPr="008C0FB5" w:rsidRDefault="00481D39" w:rsidP="00481D39">
      <w:pPr>
        <w:pStyle w:val="af8"/>
        <w:rPr>
          <w:rFonts w:hint="cs"/>
          <w:rtl/>
          <w:lang w:bidi="ar-IQ"/>
        </w:rPr>
      </w:pPr>
      <w:bookmarkStart w:id="38" w:name="_Toc8643630"/>
      <w:r w:rsidRPr="008C0FB5">
        <w:rPr>
          <w:rFonts w:hint="cs"/>
          <w:rtl/>
          <w:lang w:bidi="ar-IQ"/>
        </w:rPr>
        <w:t>الفرع الأول: التمييز بين الباعث والمحل</w:t>
      </w:r>
      <w:bookmarkEnd w:id="38"/>
    </w:p>
    <w:p w14:paraId="7CCF0089" w14:textId="77777777" w:rsidR="00481D39" w:rsidRPr="008C0FB5" w:rsidRDefault="009A1071" w:rsidP="00481D39">
      <w:pPr>
        <w:pStyle w:val="48"/>
        <w:rPr>
          <w:rFonts w:hint="cs"/>
          <w:rtl/>
        </w:rPr>
      </w:pPr>
      <w:r w:rsidRPr="008C0FB5">
        <w:rPr>
          <w:rtl/>
        </w:rPr>
        <w:t xml:space="preserve"> </w:t>
      </w:r>
      <w:r w:rsidR="00481D39" w:rsidRPr="008C0FB5">
        <w:rPr>
          <w:rFonts w:hint="cs"/>
          <w:rtl/>
        </w:rPr>
        <w:t>إن التفرقة بين الباعث والمحل لها أهمية كبيرة، خاصة وان عدم المشروعية قد يكون عالقاً بالمحل كما قد يكون عالقاً بالباعث، فيختلط الأمر في علة البطلان، أهي عدم مشروعية المحل أم عدم مشروعية الباعث.</w:t>
      </w:r>
    </w:p>
    <w:p w14:paraId="2C5478EA" w14:textId="77777777" w:rsidR="00481D39" w:rsidRPr="008C0FB5" w:rsidRDefault="00481D39" w:rsidP="00E634C5">
      <w:pPr>
        <w:pStyle w:val="35"/>
        <w:rPr>
          <w:rFonts w:hint="cs"/>
          <w:rtl/>
        </w:rPr>
      </w:pPr>
      <w:r w:rsidRPr="008C0FB5">
        <w:rPr>
          <w:rFonts w:hint="cs"/>
          <w:rtl/>
        </w:rPr>
        <w:t xml:space="preserve">ولتحديد هذه التفرقة يميز فريق من </w:t>
      </w:r>
      <w:proofErr w:type="gramStart"/>
      <w:r w:rsidRPr="008C0FB5">
        <w:rPr>
          <w:rFonts w:hint="cs"/>
          <w:rtl/>
        </w:rPr>
        <w:t>الشرّاح</w:t>
      </w:r>
      <w:r w:rsidRPr="008C0FB5">
        <w:rPr>
          <w:rFonts w:cs="Saihat" w:hint="cs"/>
          <w:vertAlign w:val="superscript"/>
          <w:rtl/>
        </w:rPr>
        <w:t>(</w:t>
      </w:r>
      <w:proofErr w:type="gramEnd"/>
      <w:r w:rsidRPr="008C0FB5">
        <w:rPr>
          <w:rFonts w:cs="Saihat"/>
          <w:vertAlign w:val="superscript"/>
          <w:rtl/>
        </w:rPr>
        <w:footnoteReference w:id="28"/>
      </w:r>
      <w:r w:rsidRPr="008C0FB5">
        <w:rPr>
          <w:rFonts w:cs="Saihat" w:hint="cs"/>
          <w:vertAlign w:val="superscript"/>
          <w:rtl/>
        </w:rPr>
        <w:t>)</w:t>
      </w:r>
      <w:r w:rsidRPr="008C0FB5">
        <w:rPr>
          <w:rFonts w:hint="cs"/>
          <w:rtl/>
        </w:rPr>
        <w:t xml:space="preserve"> بين محل الالتزام ومحل العقد،  فمحل الالتزام هو ما قد يتعهد المدين بأدائه. ففي عقد بيع الأسلحة مثلاً محل التزام البائع هو تسليم العين المبيعة، ومحل التزام المشتري هو دفع الثمن ومحل الالتزامين مشروع في هذا المثال، ولو تعلق الأمر ببيع الأسلحة لغرض القتل، فهنا لا يبطل العقد لعدم مشروعية محل الالتزام، وإنما يبطل لعدم مشروعية الباعث الدافع إلى التعاقد وهو القتل.</w:t>
      </w:r>
    </w:p>
    <w:p w14:paraId="3FAF6746" w14:textId="77777777" w:rsidR="00481D39" w:rsidRPr="008C0FB5" w:rsidRDefault="00481D39" w:rsidP="00E634C5">
      <w:pPr>
        <w:pStyle w:val="35"/>
        <w:rPr>
          <w:rFonts w:hint="cs"/>
          <w:rtl/>
        </w:rPr>
      </w:pPr>
      <w:r w:rsidRPr="008C0FB5">
        <w:rPr>
          <w:rFonts w:hint="cs"/>
          <w:rtl/>
        </w:rPr>
        <w:t xml:space="preserve">اما محل العقد، فهو العملية القانونية التي يراد </w:t>
      </w:r>
      <w:proofErr w:type="gramStart"/>
      <w:r w:rsidRPr="008C0FB5">
        <w:rPr>
          <w:rFonts w:hint="cs"/>
          <w:rtl/>
        </w:rPr>
        <w:t>تحقيقها</w:t>
      </w:r>
      <w:r w:rsidRPr="008C0FB5">
        <w:rPr>
          <w:rFonts w:cs="Saihat" w:hint="cs"/>
          <w:vertAlign w:val="superscript"/>
          <w:rtl/>
        </w:rPr>
        <w:t>(</w:t>
      </w:r>
      <w:proofErr w:type="gramEnd"/>
      <w:r w:rsidRPr="008C0FB5">
        <w:rPr>
          <w:rFonts w:cs="Saihat"/>
          <w:vertAlign w:val="superscript"/>
          <w:rtl/>
        </w:rPr>
        <w:footnoteReference w:id="29"/>
      </w:r>
      <w:r w:rsidRPr="008C0FB5">
        <w:rPr>
          <w:rFonts w:cs="Saihat" w:hint="cs"/>
          <w:vertAlign w:val="superscript"/>
          <w:rtl/>
        </w:rPr>
        <w:t>)</w:t>
      </w:r>
      <w:r w:rsidRPr="008C0FB5">
        <w:rPr>
          <w:rFonts w:hint="cs"/>
          <w:rtl/>
        </w:rPr>
        <w:t>، وقد تكون هذه العملية القانونية مشروعة على حين يكون الدافع إليها غير مشروع. مثلاً في الفرض السابق، العملية القانونية هي بيع أسلحة، وبيع الأسلحة عمل مشروع أما الباعث الدافع فهو استخدام هذه الأسلحة للقتل، وهذا الباعث غير مشروع، ولذا يبطل العقد لعدم مشروعية الباعث إذا كان الطرف الآخر عالماً به أو كان بإمكانه العلم على الرغم من مشروعية المحل</w:t>
      </w:r>
      <w:r w:rsidRPr="008C0FB5">
        <w:rPr>
          <w:rFonts w:cs="Saihat" w:hint="cs"/>
          <w:vertAlign w:val="superscript"/>
          <w:rtl/>
        </w:rPr>
        <w:t>(</w:t>
      </w:r>
      <w:r w:rsidRPr="008C0FB5">
        <w:rPr>
          <w:rFonts w:cs="Saihat"/>
          <w:vertAlign w:val="superscript"/>
          <w:rtl/>
        </w:rPr>
        <w:footnoteReference w:id="30"/>
      </w:r>
      <w:r w:rsidRPr="008C0FB5">
        <w:rPr>
          <w:rFonts w:cs="Saihat" w:hint="cs"/>
          <w:vertAlign w:val="superscript"/>
          <w:rtl/>
        </w:rPr>
        <w:t>)</w:t>
      </w:r>
      <w:r w:rsidRPr="008C0FB5">
        <w:rPr>
          <w:rFonts w:hint="cs"/>
          <w:rtl/>
        </w:rPr>
        <w:t>، وقد يحصل العكس بأن يكون محل العقد أي العملية القانونية غير مشروعة على الرغم من مشروعية الباعث، فمثلاً التعامل بالتركة المستقبلية يكون محل العقد فيه أمر غير مشروع لأنه محرم بنص القانون، ولذا يبطل العقد لعدم مشروعية المحل ولو كان الباعث الدافع إلى التعامل في التركة المستقبلية مشروعاً</w:t>
      </w:r>
      <w:r w:rsidRPr="008C0FB5">
        <w:rPr>
          <w:rFonts w:cs="Saihat" w:hint="cs"/>
          <w:vertAlign w:val="superscript"/>
          <w:rtl/>
        </w:rPr>
        <w:t>(</w:t>
      </w:r>
      <w:r w:rsidRPr="008C0FB5">
        <w:rPr>
          <w:rFonts w:cs="Saihat"/>
          <w:vertAlign w:val="superscript"/>
          <w:rtl/>
        </w:rPr>
        <w:footnoteReference w:id="31"/>
      </w:r>
      <w:r w:rsidRPr="008C0FB5">
        <w:rPr>
          <w:rFonts w:cs="Saihat" w:hint="cs"/>
          <w:vertAlign w:val="superscript"/>
          <w:rtl/>
        </w:rPr>
        <w:t>)</w:t>
      </w:r>
      <w:r w:rsidRPr="008C0FB5">
        <w:rPr>
          <w:rFonts w:hint="cs"/>
          <w:rtl/>
        </w:rPr>
        <w:t>.</w:t>
      </w:r>
    </w:p>
    <w:p w14:paraId="4719C018" w14:textId="77777777" w:rsidR="00481D39" w:rsidRPr="008C0FB5" w:rsidRDefault="00481D39" w:rsidP="00E634C5">
      <w:pPr>
        <w:pStyle w:val="35"/>
        <w:rPr>
          <w:rFonts w:hint="cs"/>
          <w:rtl/>
        </w:rPr>
      </w:pPr>
      <w:r w:rsidRPr="008C0FB5">
        <w:rPr>
          <w:rFonts w:hint="cs"/>
          <w:rtl/>
        </w:rPr>
        <w:t xml:space="preserve">والتمييز بين حالات بطلان العقد لعدم مشروعية محله عن حالات بطلانه لعدم مشروعية الباعث، أمر ليس باليسير في الكثير من الحالات، وإن كان الأمر من الممكن كما يقول بعض الشرّاح إسناد البطلان إلى عدم مشروعية المحل إذا تعلق الأمر بمخالفة قاعدة قانونية ليست من صميم </w:t>
      </w:r>
      <w:proofErr w:type="gramStart"/>
      <w:r w:rsidRPr="008C0FB5">
        <w:rPr>
          <w:rFonts w:hint="cs"/>
          <w:rtl/>
        </w:rPr>
        <w:t>الآداب</w:t>
      </w:r>
      <w:r w:rsidRPr="008C0FB5">
        <w:rPr>
          <w:rFonts w:cs="Saihat" w:hint="cs"/>
          <w:vertAlign w:val="superscript"/>
          <w:rtl/>
        </w:rPr>
        <w:t>(</w:t>
      </w:r>
      <w:proofErr w:type="gramEnd"/>
      <w:r w:rsidRPr="008C0FB5">
        <w:rPr>
          <w:rFonts w:cs="Saihat"/>
          <w:vertAlign w:val="superscript"/>
          <w:rtl/>
        </w:rPr>
        <w:footnoteReference w:id="32"/>
      </w:r>
      <w:r w:rsidRPr="008C0FB5">
        <w:rPr>
          <w:rFonts w:cs="Saihat" w:hint="cs"/>
          <w:vertAlign w:val="superscript"/>
          <w:rtl/>
        </w:rPr>
        <w:t>)</w:t>
      </w:r>
      <w:r w:rsidRPr="008C0FB5">
        <w:rPr>
          <w:rFonts w:hint="cs"/>
          <w:rtl/>
        </w:rPr>
        <w:t>.</w:t>
      </w:r>
    </w:p>
    <w:p w14:paraId="41EB467D" w14:textId="77777777" w:rsidR="00481D39" w:rsidRPr="008C0FB5" w:rsidRDefault="00481D39" w:rsidP="00E634C5">
      <w:pPr>
        <w:pStyle w:val="35"/>
        <w:rPr>
          <w:rFonts w:hint="cs"/>
          <w:rtl/>
        </w:rPr>
      </w:pPr>
      <w:r w:rsidRPr="008C0FB5">
        <w:rPr>
          <w:rFonts w:hint="cs"/>
          <w:rtl/>
        </w:rPr>
        <w:t xml:space="preserve">وحقيقة ان هذا المعيار ليس صحيحاً على اطلاقه، بل قد توجد حالات يصعب فيها التفرقة بين ما إذا كان البطلان راجعاً إلى عدم مشروعية محل العقد أم راجعاً إلى عدم مشروعية الباعث، ولكن لا ينبغي أن تحملنا هذه الصعوبة على استبعاد فكرة الباعث اكتفاء بفكرة المحل لإخضاع المعاملات بقواعد الآداب كما يقول (اللاسببيون) لأنه كما سبق أن ذكرنا توجد حالات </w:t>
      </w:r>
      <w:r w:rsidRPr="008C0FB5">
        <w:rPr>
          <w:rFonts w:hint="cs"/>
          <w:rtl/>
        </w:rPr>
        <w:lastRenderedPageBreak/>
        <w:t>يكون فيها الباعث مشروعاً، ومع ذلك يبطل العقد لعدم مشروعية الباعث.</w:t>
      </w:r>
    </w:p>
    <w:p w14:paraId="79FC0738" w14:textId="77777777" w:rsidR="009A1071" w:rsidRPr="008C0FB5" w:rsidRDefault="009A1071" w:rsidP="00481D39">
      <w:pPr>
        <w:pStyle w:val="af8"/>
        <w:jc w:val="both"/>
        <w:rPr>
          <w:lang w:bidi="ar-IQ"/>
        </w:rPr>
      </w:pPr>
      <w:bookmarkStart w:id="39" w:name="_Toc8643631"/>
      <w:r w:rsidRPr="008C0FB5">
        <w:rPr>
          <w:rtl/>
          <w:lang w:bidi="ar-IQ"/>
        </w:rPr>
        <w:t>الفرع الثاني</w:t>
      </w:r>
      <w:r w:rsidR="00FD70E3" w:rsidRPr="008C0FB5">
        <w:rPr>
          <w:rtl/>
          <w:lang w:bidi="ar-IQ"/>
        </w:rPr>
        <w:t xml:space="preserve">: </w:t>
      </w:r>
      <w:r w:rsidR="00481D39" w:rsidRPr="008C0FB5">
        <w:rPr>
          <w:rFonts w:hint="cs"/>
          <w:rtl/>
          <w:lang w:bidi="ar-IQ"/>
        </w:rPr>
        <w:t>التمييز بين الباعث والسبب</w:t>
      </w:r>
      <w:bookmarkEnd w:id="39"/>
    </w:p>
    <w:p w14:paraId="54ADD911" w14:textId="77777777" w:rsidR="00481D39" w:rsidRPr="008C0FB5" w:rsidRDefault="00481D39" w:rsidP="00E634C5">
      <w:pPr>
        <w:pStyle w:val="48"/>
        <w:rPr>
          <w:rFonts w:hint="cs"/>
          <w:rtl/>
        </w:rPr>
      </w:pPr>
      <w:r w:rsidRPr="008C0FB5">
        <w:rPr>
          <w:rFonts w:hint="cs"/>
          <w:rtl/>
        </w:rPr>
        <w:t>يتبين لنا مما تقدم ان المقصود بالسبب القصدي، هو الغرض المباشر الذي يقصد به المدين تحقيقه من الالتزام، وفي هذا يختلف السبب عن الباعث الدافع، أي الباعث الذي وجّه الإرادة ودفعها إلى التعاقد، ويظهر هذا الاختلاف في الأمور التالية:</w:t>
      </w:r>
    </w:p>
    <w:p w14:paraId="2C6D4668" w14:textId="77777777" w:rsidR="00481D39" w:rsidRPr="008C0FB5" w:rsidRDefault="00481D39" w:rsidP="003E1E9A">
      <w:pPr>
        <w:pStyle w:val="48"/>
        <w:numPr>
          <w:ilvl w:val="0"/>
          <w:numId w:val="49"/>
        </w:numPr>
        <w:rPr>
          <w:rFonts w:hint="cs"/>
          <w:rtl/>
        </w:rPr>
      </w:pPr>
      <w:r w:rsidRPr="008C0FB5">
        <w:rPr>
          <w:rFonts w:hint="cs"/>
          <w:rtl/>
        </w:rPr>
        <w:t xml:space="preserve">إن الباعث الدافع أمر يتعلق ورسم اتجاهها التعاقدي، فللمشاهد إن الإرادة لا تتحرك نحو التعاقد إلا تحت تأثير عدة بواعث من شهوات ورغبات، وليست هذه البواعث على درجة واحدة من الأهمية، إلا انه يوجد من بينها باعث رئيسي، أي باعث موجه للإرادة ودافع لها إلى التعاقد، إذن فالباعث بهذا المعنى عنصر جوهري في الإرادة التعاقدية لأنه يتحكم في كيانها وفي مصيرها فيرسم لها اتجاهها ويعمل على تحريكها ودفعها إلى </w:t>
      </w:r>
      <w:proofErr w:type="gramStart"/>
      <w:r w:rsidRPr="008C0FB5">
        <w:rPr>
          <w:rFonts w:hint="cs"/>
          <w:rtl/>
        </w:rPr>
        <w:t>التعاقد</w:t>
      </w:r>
      <w:r w:rsidRPr="008C0FB5">
        <w:rPr>
          <w:rFonts w:cs="Saihat" w:hint="cs"/>
          <w:vertAlign w:val="superscript"/>
          <w:rtl/>
        </w:rPr>
        <w:t>(</w:t>
      </w:r>
      <w:proofErr w:type="gramEnd"/>
      <w:r w:rsidRPr="008C0FB5">
        <w:rPr>
          <w:rFonts w:cs="Saihat"/>
          <w:sz w:val="30"/>
          <w:vertAlign w:val="superscript"/>
          <w:rtl/>
        </w:rPr>
        <w:footnoteReference w:id="33"/>
      </w:r>
      <w:r w:rsidRPr="008C0FB5">
        <w:rPr>
          <w:rFonts w:cs="Saihat" w:hint="cs"/>
          <w:vertAlign w:val="superscript"/>
          <w:rtl/>
        </w:rPr>
        <w:t>)</w:t>
      </w:r>
      <w:r w:rsidRPr="008C0FB5">
        <w:rPr>
          <w:rFonts w:hint="cs"/>
          <w:rtl/>
        </w:rPr>
        <w:t xml:space="preserve">. </w:t>
      </w:r>
    </w:p>
    <w:p w14:paraId="7732C677" w14:textId="77777777" w:rsidR="00481D39" w:rsidRPr="008C0FB5" w:rsidRDefault="00481D39" w:rsidP="003E1E9A">
      <w:pPr>
        <w:pStyle w:val="35"/>
        <w:rPr>
          <w:rFonts w:hint="cs"/>
          <w:rtl/>
        </w:rPr>
      </w:pPr>
      <w:r w:rsidRPr="008C0FB5">
        <w:rPr>
          <w:rFonts w:hint="cs"/>
          <w:rtl/>
        </w:rPr>
        <w:t xml:space="preserve">أما السبب فلا يدخل في منطقة البواعث، وإنما هو أمر يتعلق بالالتزام الذي ينشأ نتيجة لاتجاه الإرادة نحو التعاقد، فلا يمكن تصور قيام هذا الالتزام دون وجود سبب له، أي غرض مباشر يقصد الملتزم الوصول إليه من وراء التزامه، إذ كيف يتصور عقلاً قيام التزام المستأجر بدفع الأجرة دون أن يكون له سبب وهو الحصول على الانتفاع بالعين المؤجرة، وكيف يستساغ منطقاً قيام التزام المؤجر بتمكين المستأجر من الانتفاع بالعين المؤجرة دون أن يكون له سبب وهو الحصول على </w:t>
      </w:r>
      <w:proofErr w:type="gramStart"/>
      <w:r w:rsidRPr="008C0FB5">
        <w:rPr>
          <w:rFonts w:hint="cs"/>
          <w:rtl/>
        </w:rPr>
        <w:t>الأجرة</w:t>
      </w:r>
      <w:r w:rsidRPr="008C0FB5">
        <w:rPr>
          <w:rFonts w:cs="Saihat" w:hint="cs"/>
          <w:vertAlign w:val="superscript"/>
          <w:rtl/>
        </w:rPr>
        <w:t>(</w:t>
      </w:r>
      <w:proofErr w:type="gramEnd"/>
      <w:r w:rsidRPr="008C0FB5">
        <w:rPr>
          <w:rFonts w:cs="Saihat"/>
          <w:sz w:val="30"/>
          <w:vertAlign w:val="superscript"/>
          <w:rtl/>
        </w:rPr>
        <w:footnoteReference w:id="34"/>
      </w:r>
      <w:r w:rsidRPr="008C0FB5">
        <w:rPr>
          <w:rFonts w:cs="Saihat" w:hint="cs"/>
          <w:vertAlign w:val="superscript"/>
          <w:rtl/>
        </w:rPr>
        <w:t>)</w:t>
      </w:r>
      <w:r w:rsidRPr="008C0FB5">
        <w:rPr>
          <w:rFonts w:hint="cs"/>
          <w:rtl/>
        </w:rPr>
        <w:t>.</w:t>
      </w:r>
    </w:p>
    <w:p w14:paraId="71F4B664" w14:textId="77777777" w:rsidR="00481D39" w:rsidRPr="008C0FB5" w:rsidRDefault="00481D39" w:rsidP="003E1E9A">
      <w:pPr>
        <w:pStyle w:val="48"/>
        <w:numPr>
          <w:ilvl w:val="0"/>
          <w:numId w:val="49"/>
        </w:numPr>
        <w:rPr>
          <w:rFonts w:hint="cs"/>
          <w:rtl/>
        </w:rPr>
      </w:pPr>
      <w:r w:rsidRPr="008C0FB5">
        <w:rPr>
          <w:rFonts w:hint="cs"/>
          <w:rtl/>
        </w:rPr>
        <w:t>إن الباعث الدافع للإرادة إلى التعاقد، ليس عنصراً ثابتاً يتحدد وفقاً لمعيار موضوعي، بل هو يتميز بأنه عنصر غير ثابت يتحدد وفقاً لمعيار شخصي بمعنى انه ينظر في تحديده إلى شخص المتعاقد وإلى ظروفه الخاصة</w:t>
      </w:r>
      <w:r w:rsidRPr="008C0FB5">
        <w:rPr>
          <w:rFonts w:cs="Saihat" w:hint="cs"/>
          <w:vertAlign w:val="superscript"/>
          <w:rtl/>
        </w:rPr>
        <w:t>(</w:t>
      </w:r>
      <w:r w:rsidRPr="008C0FB5">
        <w:rPr>
          <w:rFonts w:cs="Saihat"/>
          <w:sz w:val="30"/>
          <w:vertAlign w:val="superscript"/>
          <w:rtl/>
        </w:rPr>
        <w:footnoteReference w:id="35"/>
      </w:r>
      <w:r w:rsidRPr="008C0FB5">
        <w:rPr>
          <w:rFonts w:cs="Saihat" w:hint="cs"/>
          <w:vertAlign w:val="superscript"/>
          <w:rtl/>
        </w:rPr>
        <w:t>)</w:t>
      </w:r>
      <w:r w:rsidRPr="008C0FB5">
        <w:rPr>
          <w:rFonts w:hint="cs"/>
          <w:rtl/>
        </w:rPr>
        <w:t>، ويترتب على هذا ان الباعث الدافع لا يمكن أن يتخذ صورة واحدة من النوع الواحد من العقود، بل تتعدد صوره تبعاً لاختلاف البواعث عند المتعاقدين، فقد يشتري شخصاً منزلاً ويكون الباعث الدافع له إلى شراءه استغلاله لغرض تجاري أو صناعي، وقد يشتري آخر منزلاً ويكون الباعث دافع له استعماله للسكنى فيه، وقد يشتري ثالث منزلاً ويكون الباعث الدافع له إلى التعاقد استغلاله لتأجيره للغير...الخ.</w:t>
      </w:r>
    </w:p>
    <w:p w14:paraId="54062193" w14:textId="77777777" w:rsidR="00481D39" w:rsidRPr="008C0FB5" w:rsidRDefault="00481D39" w:rsidP="003E1E9A">
      <w:pPr>
        <w:pStyle w:val="35"/>
        <w:rPr>
          <w:rFonts w:hint="cs"/>
          <w:rtl/>
        </w:rPr>
      </w:pPr>
      <w:r w:rsidRPr="008C0FB5">
        <w:rPr>
          <w:rFonts w:hint="cs"/>
          <w:rtl/>
        </w:rPr>
        <w:t>وقد يبيع شخص منزلاً ويكون الباعث الدافع له استغلال الثمن في مشروع تجاري وقد يبيع آخر منزلاً ويكون الباعث الدافع له إلى التعاقد استغلال الثمن في شراء منزل آخر وقد يبيع ثالث منزلاً ويكون الباعث الدافع له هو إنفاق الثمن في أهوائه وملذاته... الخ.</w:t>
      </w:r>
    </w:p>
    <w:p w14:paraId="0A42D900" w14:textId="77777777" w:rsidR="00481D39" w:rsidRPr="008C0FB5" w:rsidRDefault="00481D39" w:rsidP="003E1E9A">
      <w:pPr>
        <w:pStyle w:val="35"/>
        <w:rPr>
          <w:rFonts w:hint="cs"/>
          <w:rtl/>
        </w:rPr>
      </w:pPr>
      <w:r w:rsidRPr="008C0FB5">
        <w:rPr>
          <w:rFonts w:hint="cs"/>
          <w:rtl/>
        </w:rPr>
        <w:t xml:space="preserve">أما السبب فالظاهر ان تحديده يقوم على أساس موضوعي قابت فالسبب كما سبق بيانه، هو الغرض المباشر الذي يقصد الملتزم الوصول إليه من وراء الالتزام، فأياً كانت الظروف الخاصة بكل ملتزم ومهما تنوعت البواعث التي تدفع الإرادة إلى التعاقد وإلى إنشاء الالتزام فان السبب </w:t>
      </w:r>
      <w:r w:rsidRPr="008C0FB5">
        <w:rPr>
          <w:rFonts w:hint="cs"/>
          <w:rtl/>
        </w:rPr>
        <w:lastRenderedPageBreak/>
        <w:t>يكون واحداً في جميع الالتزامات التي من نوع واحد، ففي كل التزام بنقل ملكية يكون الغرض المباشر الذي يسعى البائع إلى تحقيقه هو الحصول على الثمن وفي كل التزام بدفع الثمن يترتب في ذمة المشتري يكون سبب الالتزام هو الحصول على الشيء المبيع، وفي كل التزام بدفع أجرة يقع على عاتق المستأجر يكون سبب الالتزام هو الحصول على الانتفاع بالعين المؤجرة وهكذا</w:t>
      </w:r>
      <w:r w:rsidRPr="008C0FB5">
        <w:rPr>
          <w:rFonts w:cs="Saihat" w:hint="cs"/>
          <w:vertAlign w:val="superscript"/>
          <w:rtl/>
        </w:rPr>
        <w:t>(</w:t>
      </w:r>
      <w:r w:rsidRPr="008C0FB5">
        <w:rPr>
          <w:rFonts w:cs="Saihat"/>
          <w:sz w:val="30"/>
          <w:vertAlign w:val="superscript"/>
          <w:rtl/>
        </w:rPr>
        <w:footnoteReference w:id="36"/>
      </w:r>
      <w:r w:rsidRPr="008C0FB5">
        <w:rPr>
          <w:rFonts w:cs="Saihat" w:hint="cs"/>
          <w:vertAlign w:val="superscript"/>
          <w:rtl/>
        </w:rPr>
        <w:t>)</w:t>
      </w:r>
      <w:r w:rsidRPr="008C0FB5">
        <w:rPr>
          <w:rFonts w:hint="cs"/>
          <w:rtl/>
        </w:rPr>
        <w:t>.</w:t>
      </w:r>
    </w:p>
    <w:p w14:paraId="418B8B40" w14:textId="77777777" w:rsidR="00481D39" w:rsidRPr="008C0FB5" w:rsidRDefault="00481D39" w:rsidP="003E1E9A">
      <w:pPr>
        <w:pStyle w:val="48"/>
        <w:numPr>
          <w:ilvl w:val="0"/>
          <w:numId w:val="49"/>
        </w:numPr>
        <w:rPr>
          <w:rFonts w:hint="cs"/>
          <w:rtl/>
        </w:rPr>
      </w:pPr>
      <w:r w:rsidRPr="008C0FB5">
        <w:rPr>
          <w:rFonts w:hint="cs"/>
          <w:rtl/>
        </w:rPr>
        <w:t xml:space="preserve">قلنا إن الباعث الدافع للإرادة إلى التعاقد يعتبر أمراً شخصياً يتوقف تحديده على الظروف الشخصية والرغبات الخاصة بكل متعاقد، ومن ثم قد يكون هذا الباعث مشروعاً وقد يكون غير مشروع، فإذا ثبت عدم مشروعية الباعث أي مخالفته للنظام العام والآداب العامة فان الإرادة تكون باطلة وبالتالي يكون العقد باطلاً. </w:t>
      </w:r>
    </w:p>
    <w:p w14:paraId="2169DD36" w14:textId="77777777" w:rsidR="00481D39" w:rsidRPr="008C0FB5" w:rsidRDefault="00481D39" w:rsidP="003E1E9A">
      <w:pPr>
        <w:pStyle w:val="35"/>
        <w:rPr>
          <w:rFonts w:hint="cs"/>
          <w:rtl/>
        </w:rPr>
      </w:pPr>
      <w:r w:rsidRPr="008C0FB5">
        <w:rPr>
          <w:rFonts w:hint="cs"/>
          <w:rtl/>
        </w:rPr>
        <w:t xml:space="preserve">أما السبب فالغالب أن لا يترك تحديده لإرادة المتعاقدين بل ان القانون هو الذي يتولى هذا التحديد، ففي طائفة العقود المسماة، أي العقود التي يقوم القانون بتنظيم أحكامها تنظيماً تفصيلياً، يحدد القانون سبب الالتزام تحديداً موضوعياً، فمثلاً قام القانون بتنظيم عقد البيع من حيث أركانه وآثاره ونص على ان البيع عقد يلتزم به البائع أن ينقل للمشتري ملكية شيء أو حقاً مالياً آخر في مقابل ثمن </w:t>
      </w:r>
      <w:proofErr w:type="gramStart"/>
      <w:r w:rsidRPr="008C0FB5">
        <w:rPr>
          <w:rFonts w:hint="cs"/>
          <w:rtl/>
        </w:rPr>
        <w:t>نقدي</w:t>
      </w:r>
      <w:r w:rsidRPr="008C0FB5">
        <w:rPr>
          <w:rFonts w:cs="Saihat" w:hint="cs"/>
          <w:vertAlign w:val="superscript"/>
          <w:rtl/>
        </w:rPr>
        <w:t>(</w:t>
      </w:r>
      <w:proofErr w:type="gramEnd"/>
      <w:r w:rsidRPr="008C0FB5">
        <w:rPr>
          <w:rFonts w:cs="Saihat"/>
          <w:sz w:val="30"/>
          <w:vertAlign w:val="superscript"/>
          <w:rtl/>
        </w:rPr>
        <w:footnoteReference w:id="37"/>
      </w:r>
      <w:r w:rsidRPr="008C0FB5">
        <w:rPr>
          <w:rFonts w:cs="Saihat" w:hint="cs"/>
          <w:vertAlign w:val="superscript"/>
          <w:rtl/>
        </w:rPr>
        <w:t>)</w:t>
      </w:r>
      <w:r w:rsidRPr="008C0FB5">
        <w:rPr>
          <w:rFonts w:hint="cs"/>
          <w:rtl/>
        </w:rPr>
        <w:t xml:space="preserve">. إذن فالقانون حدد سبب التزام البائع بنقل الملكية وهو الحصول على الثمن وحدد سبب التزام المشتري بدفع الثمن وهو الحصول على الشيء المبيع. كذلك نظم القانون عقد الإيجار من حيث أركانه وآثاره ونص على ان الإيجار عقد يلتزم المؤجر بمقتضاه أن يمكن المستأجر من الانتفاع بشيء مدة معينة لقاء أجر </w:t>
      </w:r>
      <w:proofErr w:type="gramStart"/>
      <w:r w:rsidRPr="008C0FB5">
        <w:rPr>
          <w:rFonts w:hint="cs"/>
          <w:rtl/>
        </w:rPr>
        <w:t>معلوم</w:t>
      </w:r>
      <w:r w:rsidRPr="008C0FB5">
        <w:rPr>
          <w:rFonts w:cs="Saihat" w:hint="cs"/>
          <w:vertAlign w:val="superscript"/>
          <w:rtl/>
        </w:rPr>
        <w:t>(</w:t>
      </w:r>
      <w:proofErr w:type="gramEnd"/>
      <w:r w:rsidRPr="008C0FB5">
        <w:rPr>
          <w:rFonts w:cs="Saihat"/>
          <w:sz w:val="30"/>
          <w:vertAlign w:val="superscript"/>
          <w:rtl/>
        </w:rPr>
        <w:footnoteReference w:id="38"/>
      </w:r>
      <w:r w:rsidRPr="008C0FB5">
        <w:rPr>
          <w:rFonts w:cs="Saihat" w:hint="cs"/>
          <w:vertAlign w:val="superscript"/>
          <w:rtl/>
        </w:rPr>
        <w:t>)</w:t>
      </w:r>
      <w:r w:rsidRPr="008C0FB5">
        <w:rPr>
          <w:rFonts w:hint="cs"/>
          <w:rtl/>
        </w:rPr>
        <w:t>. إذن فالقانون حدد سبب التزام المؤجر بتمكين المستأجر من الانتفاع بالعين المؤجرة وهو الحصول على الأخرى وحدد أيضاً سبب التزام المستأجر بدفع الأجرة وهو تمكينه من الانتفاع بالشيء المؤجر.</w:t>
      </w:r>
    </w:p>
    <w:p w14:paraId="7558149D" w14:textId="77777777" w:rsidR="00481D39" w:rsidRPr="008C0FB5" w:rsidRDefault="00481D39" w:rsidP="003E1E9A">
      <w:pPr>
        <w:pStyle w:val="35"/>
        <w:rPr>
          <w:rFonts w:hint="cs"/>
          <w:rtl/>
        </w:rPr>
      </w:pPr>
      <w:r w:rsidRPr="008C0FB5">
        <w:rPr>
          <w:rFonts w:hint="cs"/>
          <w:rtl/>
        </w:rPr>
        <w:t xml:space="preserve">يترتب على ما تقدم نتيجة </w:t>
      </w:r>
      <w:proofErr w:type="gramStart"/>
      <w:r w:rsidRPr="008C0FB5">
        <w:rPr>
          <w:rFonts w:hint="cs"/>
          <w:rtl/>
        </w:rPr>
        <w:t>هامة</w:t>
      </w:r>
      <w:proofErr w:type="gramEnd"/>
      <w:r w:rsidRPr="008C0FB5">
        <w:rPr>
          <w:rFonts w:hint="cs"/>
          <w:rtl/>
        </w:rPr>
        <w:t xml:space="preserve"> وهي انه طالما ان القانون هو الذي يحدد سبب الالتزام فلا يتصور أن يكون هذا السبب غير مشروع. </w:t>
      </w:r>
    </w:p>
    <w:p w14:paraId="4F1BCD7C" w14:textId="77777777" w:rsidR="009A1071" w:rsidRPr="008C0FB5" w:rsidRDefault="00E634C5" w:rsidP="00C253D0">
      <w:pPr>
        <w:pStyle w:val="a1"/>
        <w:rPr>
          <w:rtl/>
        </w:rPr>
      </w:pPr>
      <w:r w:rsidRPr="008C0FB5">
        <w:rPr>
          <w:rtl/>
        </w:rPr>
        <w:br w:type="page"/>
      </w:r>
      <w:bookmarkStart w:id="40" w:name="_Toc8643632"/>
      <w:r w:rsidR="009A1071" w:rsidRPr="008C0FB5">
        <w:rPr>
          <w:rtl/>
        </w:rPr>
        <w:lastRenderedPageBreak/>
        <w:t xml:space="preserve">المطلب </w:t>
      </w:r>
      <w:r w:rsidR="009B7029" w:rsidRPr="008C0FB5">
        <w:rPr>
          <w:rFonts w:hint="cs"/>
          <w:rtl/>
        </w:rPr>
        <w:t>الرابع</w:t>
      </w:r>
      <w:r w:rsidR="00FD70E3" w:rsidRPr="008C0FB5">
        <w:rPr>
          <w:rtl/>
        </w:rPr>
        <w:t xml:space="preserve">: </w:t>
      </w:r>
      <w:r w:rsidR="00481D39" w:rsidRPr="008C0FB5">
        <w:rPr>
          <w:rFonts w:hint="cs"/>
          <w:rtl/>
        </w:rPr>
        <w:t>الفائدة العملية للباعث في العقود</w:t>
      </w:r>
      <w:bookmarkEnd w:id="40"/>
    </w:p>
    <w:p w14:paraId="78A6F106" w14:textId="77777777" w:rsidR="009B7029" w:rsidRPr="008C0FB5" w:rsidRDefault="009A1071" w:rsidP="009B7029">
      <w:pPr>
        <w:pStyle w:val="48"/>
        <w:rPr>
          <w:rFonts w:hint="cs"/>
          <w:rtl/>
        </w:rPr>
      </w:pPr>
      <w:r w:rsidRPr="008C0FB5">
        <w:rPr>
          <w:rtl/>
        </w:rPr>
        <w:t xml:space="preserve"> </w:t>
      </w:r>
      <w:r w:rsidR="009B7029" w:rsidRPr="008C0FB5">
        <w:rPr>
          <w:rFonts w:hint="cs"/>
          <w:rtl/>
        </w:rPr>
        <w:t xml:space="preserve">لمّا كان الباعث هو غاية المتعاقد الرئيسية من إبرام </w:t>
      </w:r>
      <w:proofErr w:type="gramStart"/>
      <w:r w:rsidR="009B7029" w:rsidRPr="008C0FB5">
        <w:rPr>
          <w:rFonts w:hint="cs"/>
          <w:rtl/>
        </w:rPr>
        <w:t>العقد</w:t>
      </w:r>
      <w:r w:rsidR="009B7029" w:rsidRPr="008C0FB5">
        <w:rPr>
          <w:rFonts w:cs="Saihat" w:hint="cs"/>
          <w:vertAlign w:val="superscript"/>
          <w:rtl/>
        </w:rPr>
        <w:t>(</w:t>
      </w:r>
      <w:proofErr w:type="gramEnd"/>
      <w:r w:rsidR="009B7029" w:rsidRPr="008C0FB5">
        <w:rPr>
          <w:rFonts w:cs="Saihat"/>
          <w:vertAlign w:val="superscript"/>
          <w:rtl/>
        </w:rPr>
        <w:footnoteReference w:id="39"/>
      </w:r>
      <w:r w:rsidR="009B7029" w:rsidRPr="008C0FB5">
        <w:rPr>
          <w:rFonts w:cs="Saihat" w:hint="cs"/>
          <w:vertAlign w:val="superscript"/>
          <w:rtl/>
        </w:rPr>
        <w:t>)</w:t>
      </w:r>
      <w:r w:rsidR="009B7029" w:rsidRPr="008C0FB5">
        <w:rPr>
          <w:rFonts w:hint="cs"/>
          <w:rtl/>
        </w:rPr>
        <w:t>، فانه يعتبر المحرك الأساسي للإرادة، فهي مدفوعة وناتجة من باعث تتجه إليه ولا تتم إلا به</w:t>
      </w:r>
      <w:r w:rsidR="009B7029" w:rsidRPr="008C0FB5">
        <w:rPr>
          <w:rFonts w:cs="Saihat" w:hint="cs"/>
          <w:vertAlign w:val="superscript"/>
          <w:rtl/>
        </w:rPr>
        <w:t>(</w:t>
      </w:r>
      <w:r w:rsidR="009B7029" w:rsidRPr="008C0FB5">
        <w:rPr>
          <w:rFonts w:cs="Saihat"/>
          <w:vertAlign w:val="superscript"/>
          <w:rtl/>
        </w:rPr>
        <w:footnoteReference w:id="40"/>
      </w:r>
      <w:r w:rsidR="009B7029" w:rsidRPr="008C0FB5">
        <w:rPr>
          <w:rFonts w:cs="Saihat" w:hint="cs"/>
          <w:vertAlign w:val="superscript"/>
          <w:rtl/>
        </w:rPr>
        <w:t>)</w:t>
      </w:r>
      <w:r w:rsidR="009B7029" w:rsidRPr="008C0FB5">
        <w:rPr>
          <w:rFonts w:hint="cs"/>
          <w:rtl/>
        </w:rPr>
        <w:t>، ولذلك يجب علينا بحث دور الإرادة في العقد ليتبين لنا بعدها الفائدة العملية للباعث في العقود، ذلك ان الباعث لا يمكن له أن يتحرك إلا عن طريق الإرادة وعلى هذا فقد قسمنا هذا المبحث إلى مطلبين نبحث في أولهما دور الإرادة في إنشاء العقود أما المطلب الثاني فنبحث فيه دور الباعث في تقييد الإرادة في إنشاء العقود.</w:t>
      </w:r>
    </w:p>
    <w:p w14:paraId="3779715C" w14:textId="77777777" w:rsidR="009A1071" w:rsidRPr="008C0FB5" w:rsidRDefault="009A1071" w:rsidP="00C253D0">
      <w:pPr>
        <w:pStyle w:val="a1"/>
        <w:rPr>
          <w:rFonts w:hint="cs"/>
        </w:rPr>
      </w:pPr>
      <w:bookmarkStart w:id="41" w:name="_Toc8643633"/>
      <w:r w:rsidRPr="008C0FB5">
        <w:rPr>
          <w:rtl/>
        </w:rPr>
        <w:t xml:space="preserve">المطلب </w:t>
      </w:r>
      <w:r w:rsidR="009B7029" w:rsidRPr="008C0FB5">
        <w:rPr>
          <w:rFonts w:hint="cs"/>
          <w:rtl/>
        </w:rPr>
        <w:t>الخامس</w:t>
      </w:r>
      <w:r w:rsidR="00FD70E3" w:rsidRPr="008C0FB5">
        <w:rPr>
          <w:rtl/>
        </w:rPr>
        <w:t xml:space="preserve">: </w:t>
      </w:r>
      <w:r w:rsidR="009B7029" w:rsidRPr="008C0FB5">
        <w:rPr>
          <w:rtl/>
        </w:rPr>
        <w:t>دور الإرادة في إنشاء العقود</w:t>
      </w:r>
      <w:bookmarkEnd w:id="41"/>
    </w:p>
    <w:p w14:paraId="48FEABC4" w14:textId="77777777" w:rsidR="00BF09F7" w:rsidRPr="008C0FB5" w:rsidRDefault="00BF09F7" w:rsidP="00BF09F7">
      <w:pPr>
        <w:pStyle w:val="48"/>
        <w:rPr>
          <w:rFonts w:hint="cs"/>
          <w:rtl/>
        </w:rPr>
      </w:pPr>
      <w:r w:rsidRPr="008C0FB5">
        <w:rPr>
          <w:rFonts w:hint="cs"/>
          <w:rtl/>
        </w:rPr>
        <w:t xml:space="preserve">إن دور الإرادة في إنشاء العقود هو وليد تطور تاريخي عميق في حياة الشعوب القديمة، فإذا كانت العقود اليوم تتكون في الأساس بمجرد رضا المتعاقدين الاختياري، فلم يكن الأمر كذلك في الماضي البعيد. فتطور المدنية والحضارة وازدهار المبادلات التجارية جعل العقد يكتسي هذا النوع من البساطة في الانعقاد، فيخلع عنه ثوب الشكلية والرمزية والاحتفالية التي كان لابد منها وإلا فيبطل العقد ولا </w:t>
      </w:r>
      <w:proofErr w:type="gramStart"/>
      <w:r w:rsidRPr="008C0FB5">
        <w:rPr>
          <w:rFonts w:hint="cs"/>
          <w:rtl/>
        </w:rPr>
        <w:t>ينعقد</w:t>
      </w:r>
      <w:r w:rsidRPr="008C0FB5">
        <w:rPr>
          <w:rFonts w:cs="Saihat" w:hint="cs"/>
          <w:vertAlign w:val="superscript"/>
          <w:rtl/>
        </w:rPr>
        <w:t>(</w:t>
      </w:r>
      <w:proofErr w:type="gramEnd"/>
      <w:r w:rsidRPr="008C0FB5">
        <w:rPr>
          <w:rFonts w:cs="Saihat"/>
          <w:vertAlign w:val="superscript"/>
          <w:rtl/>
        </w:rPr>
        <w:footnoteReference w:id="41"/>
      </w:r>
      <w:r w:rsidRPr="008C0FB5">
        <w:rPr>
          <w:rFonts w:cs="Saihat" w:hint="cs"/>
          <w:vertAlign w:val="superscript"/>
          <w:rtl/>
        </w:rPr>
        <w:t>)</w:t>
      </w:r>
      <w:r w:rsidRPr="008C0FB5">
        <w:rPr>
          <w:rFonts w:hint="cs"/>
          <w:rtl/>
        </w:rPr>
        <w:t>.</w:t>
      </w:r>
    </w:p>
    <w:p w14:paraId="6D1053C5" w14:textId="77777777" w:rsidR="00BF09F7" w:rsidRPr="008C0FB5" w:rsidRDefault="00BF09F7" w:rsidP="00BF09F7">
      <w:pPr>
        <w:pStyle w:val="35"/>
        <w:rPr>
          <w:rFonts w:hint="cs"/>
          <w:rtl/>
        </w:rPr>
      </w:pPr>
      <w:r w:rsidRPr="008C0FB5">
        <w:rPr>
          <w:rFonts w:hint="cs"/>
          <w:rtl/>
        </w:rPr>
        <w:t xml:space="preserve">وقد عرفت هذه الحقيقة التاريخية من أحكام العقود في القانون </w:t>
      </w:r>
      <w:proofErr w:type="gramStart"/>
      <w:r w:rsidRPr="008C0FB5">
        <w:rPr>
          <w:rFonts w:hint="cs"/>
          <w:rtl/>
        </w:rPr>
        <w:t>الروماني</w:t>
      </w:r>
      <w:r w:rsidRPr="008C0FB5">
        <w:rPr>
          <w:rFonts w:cs="Saihat" w:hint="cs"/>
          <w:vertAlign w:val="superscript"/>
          <w:rtl/>
        </w:rPr>
        <w:t>(</w:t>
      </w:r>
      <w:proofErr w:type="gramEnd"/>
      <w:r w:rsidRPr="008C0FB5">
        <w:rPr>
          <w:rFonts w:cs="Saihat"/>
          <w:vertAlign w:val="superscript"/>
          <w:rtl/>
        </w:rPr>
        <w:footnoteReference w:id="42"/>
      </w:r>
      <w:r w:rsidRPr="008C0FB5">
        <w:rPr>
          <w:rFonts w:cs="Saihat" w:hint="cs"/>
          <w:vertAlign w:val="superscript"/>
          <w:rtl/>
        </w:rPr>
        <w:t>)</w:t>
      </w:r>
      <w:r w:rsidRPr="008C0FB5">
        <w:rPr>
          <w:rFonts w:hint="cs"/>
          <w:rtl/>
        </w:rPr>
        <w:t xml:space="preserve"> ومن بعض أنواع البيوع القديمة في حياة العرب قبل ظهور أحكام الشريعة الإسلامية، فظهرت العقود الرضائية التي تنعقد برضى الطرفين وحده وأصبحت مبدأ عاماً سرعان ما تطور وانتقل بفعل عوامل اقتصادية واجتماعية وفكرية إلى القوانين الأوربية وترسخ وجوده وثبت في التعامل بين الناس. ولما جاءت الشريعة الإسلامية كان مبدا الرضائية في العقود من أولويات الأحكام فيها. نبذت الشكل وأخذت بجوهر العقد فجعلت الأصل في العقود الرضا، فمت حصل هذا الرضا بارتباط الإيجاب والقبول انعقد العقد وظهرت آثاره </w:t>
      </w:r>
      <w:proofErr w:type="gramStart"/>
      <w:r w:rsidRPr="008C0FB5">
        <w:rPr>
          <w:rFonts w:hint="cs"/>
          <w:rtl/>
        </w:rPr>
        <w:t>القانونية</w:t>
      </w:r>
      <w:r w:rsidRPr="008C0FB5">
        <w:rPr>
          <w:rFonts w:cs="Saihat" w:hint="cs"/>
          <w:vertAlign w:val="superscript"/>
          <w:rtl/>
        </w:rPr>
        <w:t>(</w:t>
      </w:r>
      <w:proofErr w:type="gramEnd"/>
      <w:r w:rsidRPr="008C0FB5">
        <w:rPr>
          <w:rFonts w:cs="Saihat"/>
          <w:vertAlign w:val="superscript"/>
          <w:rtl/>
        </w:rPr>
        <w:footnoteReference w:id="43"/>
      </w:r>
      <w:r w:rsidRPr="008C0FB5">
        <w:rPr>
          <w:rFonts w:cs="Saihat" w:hint="cs"/>
          <w:vertAlign w:val="superscript"/>
          <w:rtl/>
        </w:rPr>
        <w:t>)</w:t>
      </w:r>
      <w:r w:rsidRPr="008C0FB5">
        <w:rPr>
          <w:rFonts w:hint="cs"/>
          <w:rtl/>
        </w:rPr>
        <w:t xml:space="preserve">. ومن هنا ظهرت حرية التعاقد والتي يقصد بها </w:t>
      </w:r>
      <w:proofErr w:type="gramStart"/>
      <w:r w:rsidRPr="008C0FB5">
        <w:rPr>
          <w:rFonts w:hint="cs"/>
          <w:rtl/>
        </w:rPr>
        <w:t>اطلاق</w:t>
      </w:r>
      <w:proofErr w:type="gramEnd"/>
      <w:r w:rsidRPr="008C0FB5">
        <w:rPr>
          <w:rFonts w:hint="cs"/>
          <w:rtl/>
        </w:rPr>
        <w:t xml:space="preserve"> حرية الناس في أن يعقدوا من العقود ما يرون وبالشروط التي يشترطون غير مقيدين إلا بقيد واحد وهو ألا تشتمل عقودهم على أمور قد نهى عنها الشارع وحرمها. أي لا تتعارض مع ما يسمى بالنظام العام أو الآداب العامة أو الأنظمة ذات الصفة </w:t>
      </w:r>
      <w:proofErr w:type="gramStart"/>
      <w:r w:rsidRPr="008C0FB5">
        <w:rPr>
          <w:rFonts w:hint="cs"/>
          <w:rtl/>
        </w:rPr>
        <w:t>القانونية</w:t>
      </w:r>
      <w:r w:rsidRPr="008C0FB5">
        <w:rPr>
          <w:rFonts w:cs="Saihat" w:hint="cs"/>
          <w:vertAlign w:val="superscript"/>
          <w:rtl/>
        </w:rPr>
        <w:t>(</w:t>
      </w:r>
      <w:proofErr w:type="gramEnd"/>
      <w:r w:rsidRPr="008C0FB5">
        <w:rPr>
          <w:rFonts w:cs="Saihat"/>
          <w:vertAlign w:val="superscript"/>
          <w:rtl/>
        </w:rPr>
        <w:footnoteReference w:id="44"/>
      </w:r>
      <w:r w:rsidRPr="008C0FB5">
        <w:rPr>
          <w:rFonts w:cs="Saihat" w:hint="cs"/>
          <w:vertAlign w:val="superscript"/>
          <w:rtl/>
        </w:rPr>
        <w:t>)</w:t>
      </w:r>
      <w:r w:rsidRPr="008C0FB5">
        <w:rPr>
          <w:rFonts w:hint="cs"/>
          <w:rtl/>
        </w:rPr>
        <w:t xml:space="preserve">. فما لم تشتمل تلك العقود على أمر محرم بنص أو بمقتضى القواعد العامة المقررة التي ترتفع إلى درجة القطع والتعيين فان الوفاء بها لازم والعاقد مأخوذ بما تعهد به. وإن اشتملت على أمر حرمه </w:t>
      </w:r>
      <w:r w:rsidRPr="008C0FB5">
        <w:rPr>
          <w:rFonts w:hint="cs"/>
          <w:rtl/>
        </w:rPr>
        <w:lastRenderedPageBreak/>
        <w:t xml:space="preserve">الشارع فهي فاسدة أو على الأقل لا يجب الوفاء بالجزء المحرم </w:t>
      </w:r>
      <w:proofErr w:type="gramStart"/>
      <w:r w:rsidRPr="008C0FB5">
        <w:rPr>
          <w:rFonts w:hint="cs"/>
          <w:rtl/>
        </w:rPr>
        <w:t>منها</w:t>
      </w:r>
      <w:r w:rsidRPr="008C0FB5">
        <w:rPr>
          <w:rFonts w:cs="Saihat" w:hint="cs"/>
          <w:vertAlign w:val="superscript"/>
          <w:rtl/>
        </w:rPr>
        <w:t>(</w:t>
      </w:r>
      <w:proofErr w:type="gramEnd"/>
      <w:r w:rsidRPr="008C0FB5">
        <w:rPr>
          <w:rFonts w:cs="Saihat"/>
          <w:vertAlign w:val="superscript"/>
          <w:rtl/>
        </w:rPr>
        <w:footnoteReference w:id="45"/>
      </w:r>
      <w:r w:rsidRPr="008C0FB5">
        <w:rPr>
          <w:rFonts w:cs="Saihat" w:hint="cs"/>
          <w:vertAlign w:val="superscript"/>
          <w:rtl/>
        </w:rPr>
        <w:t>)</w:t>
      </w:r>
      <w:r w:rsidRPr="008C0FB5">
        <w:rPr>
          <w:rFonts w:hint="cs"/>
          <w:rtl/>
        </w:rPr>
        <w:t>.</w:t>
      </w:r>
    </w:p>
    <w:p w14:paraId="266A970B" w14:textId="77777777" w:rsidR="00BF09F7" w:rsidRPr="008C0FB5" w:rsidRDefault="00BF09F7" w:rsidP="00BF09F7">
      <w:pPr>
        <w:pStyle w:val="35"/>
        <w:rPr>
          <w:rFonts w:hint="cs"/>
          <w:rtl/>
        </w:rPr>
      </w:pPr>
      <w:r w:rsidRPr="008C0FB5">
        <w:rPr>
          <w:rFonts w:hint="cs"/>
          <w:rtl/>
        </w:rPr>
        <w:t xml:space="preserve">ولئن كان هذا المبدأ مسلماً به في </w:t>
      </w:r>
      <w:proofErr w:type="gramStart"/>
      <w:r w:rsidRPr="008C0FB5">
        <w:rPr>
          <w:rFonts w:hint="cs"/>
          <w:rtl/>
        </w:rPr>
        <w:t>القانون</w:t>
      </w:r>
      <w:r w:rsidRPr="008C0FB5">
        <w:rPr>
          <w:rFonts w:cs="Saihat" w:hint="cs"/>
          <w:vertAlign w:val="superscript"/>
          <w:rtl/>
        </w:rPr>
        <w:t>(</w:t>
      </w:r>
      <w:proofErr w:type="gramEnd"/>
      <w:r w:rsidRPr="008C0FB5">
        <w:rPr>
          <w:rFonts w:cs="Saihat"/>
          <w:vertAlign w:val="superscript"/>
          <w:rtl/>
        </w:rPr>
        <w:footnoteReference w:id="46"/>
      </w:r>
      <w:r w:rsidRPr="008C0FB5">
        <w:rPr>
          <w:rFonts w:cs="Saihat" w:hint="cs"/>
          <w:vertAlign w:val="superscript"/>
          <w:rtl/>
        </w:rPr>
        <w:t>)</w:t>
      </w:r>
      <w:r w:rsidRPr="008C0FB5">
        <w:rPr>
          <w:rFonts w:hint="cs"/>
          <w:rtl/>
        </w:rPr>
        <w:t xml:space="preserve"> إلا انه في الفقه الإسلامي محل خلاف</w:t>
      </w:r>
      <w:r w:rsidRPr="008C0FB5">
        <w:rPr>
          <w:rFonts w:cs="Saihat" w:hint="cs"/>
          <w:vertAlign w:val="superscript"/>
          <w:rtl/>
        </w:rPr>
        <w:t>(</w:t>
      </w:r>
      <w:r w:rsidRPr="008C0FB5">
        <w:rPr>
          <w:rFonts w:cs="Saihat"/>
          <w:vertAlign w:val="superscript"/>
          <w:rtl/>
        </w:rPr>
        <w:footnoteReference w:id="47"/>
      </w:r>
      <w:r w:rsidRPr="008C0FB5">
        <w:rPr>
          <w:rFonts w:cs="Saihat" w:hint="cs"/>
          <w:vertAlign w:val="superscript"/>
          <w:rtl/>
        </w:rPr>
        <w:t>)</w:t>
      </w:r>
      <w:r w:rsidRPr="008C0FB5">
        <w:rPr>
          <w:rFonts w:hint="cs"/>
          <w:rtl/>
        </w:rPr>
        <w:t>.</w:t>
      </w:r>
    </w:p>
    <w:p w14:paraId="623138D1" w14:textId="77777777" w:rsidR="00BF09F7" w:rsidRPr="008C0FB5" w:rsidRDefault="00BF09F7" w:rsidP="00BF09F7">
      <w:pPr>
        <w:pStyle w:val="35"/>
        <w:rPr>
          <w:rFonts w:hint="cs"/>
          <w:rtl/>
        </w:rPr>
      </w:pPr>
      <w:r w:rsidRPr="008C0FB5">
        <w:rPr>
          <w:rFonts w:hint="cs"/>
          <w:rtl/>
        </w:rPr>
        <w:t>ولهذا كله فقد قسمنا هذا المطلب إلى فرعين نتناول في أولهما دور الإرادة في إنشاء العقود في الفقه الإسلامي أما الفرع الثاني فقد خصصناه لبحث دور الإرادة في إنشاء العقود في القانون.</w:t>
      </w:r>
    </w:p>
    <w:p w14:paraId="155D9022" w14:textId="77777777" w:rsidR="009A1071" w:rsidRPr="008C0FB5" w:rsidRDefault="009A1071" w:rsidP="00BF09F7">
      <w:pPr>
        <w:pStyle w:val="af8"/>
        <w:rPr>
          <w:rtl/>
          <w:lang w:bidi="ar-IQ"/>
        </w:rPr>
      </w:pPr>
      <w:bookmarkStart w:id="42" w:name="_Toc8643634"/>
      <w:r w:rsidRPr="008C0FB5">
        <w:rPr>
          <w:rtl/>
          <w:lang w:bidi="ar-IQ"/>
        </w:rPr>
        <w:t>الفرع الاول</w:t>
      </w:r>
      <w:r w:rsidR="00FD70E3" w:rsidRPr="008C0FB5">
        <w:rPr>
          <w:rtl/>
          <w:lang w:bidi="ar-IQ"/>
        </w:rPr>
        <w:t xml:space="preserve">: </w:t>
      </w:r>
      <w:r w:rsidR="00BF09F7" w:rsidRPr="008C0FB5">
        <w:rPr>
          <w:rtl/>
          <w:lang w:bidi="ar-IQ"/>
        </w:rPr>
        <w:t>دور الإرادة في إنشاء العقود في الفقه الإسلامي</w:t>
      </w:r>
      <w:bookmarkEnd w:id="42"/>
    </w:p>
    <w:p w14:paraId="416F1289" w14:textId="77777777" w:rsidR="00BF09F7" w:rsidRPr="008C0FB5" w:rsidRDefault="00BF09F7" w:rsidP="00E634C5">
      <w:pPr>
        <w:pStyle w:val="48"/>
        <w:spacing w:line="240" w:lineRule="auto"/>
        <w:rPr>
          <w:rFonts w:hint="cs"/>
          <w:rtl/>
        </w:rPr>
      </w:pPr>
      <w:r w:rsidRPr="008C0FB5">
        <w:rPr>
          <w:rFonts w:hint="cs"/>
          <w:rtl/>
        </w:rPr>
        <w:t>وقبل البدء ببيان الخلاف في هذه المسألة، لابد لنا من الإشارة إلى أن الملاحظ في الفقه الإسلامي قولهم إن الناس أحراراً في نشاء العقود أما الآثار فالأصل انها من صنع الشارع وجعله، وبعبارة أخرى ان العقود أسباب جعلية شرعية وليست بأسباب طبيعية فإذا اتجهت الإرادة إلى إنشاء العقد نشأ ذلك العقد ولكن آثاره مرجعها إلى صنع الشارع</w:t>
      </w:r>
      <w:r w:rsidRPr="008C0FB5">
        <w:rPr>
          <w:rFonts w:cs="Saihat" w:hint="cs"/>
          <w:vertAlign w:val="superscript"/>
          <w:rtl/>
        </w:rPr>
        <w:t>(</w:t>
      </w:r>
      <w:r w:rsidRPr="008C0FB5">
        <w:rPr>
          <w:rFonts w:cs="Saihat"/>
          <w:vertAlign w:val="superscript"/>
          <w:rtl/>
        </w:rPr>
        <w:footnoteReference w:id="48"/>
      </w:r>
      <w:r w:rsidRPr="008C0FB5">
        <w:rPr>
          <w:rFonts w:cs="Saihat" w:hint="cs"/>
          <w:vertAlign w:val="superscript"/>
          <w:rtl/>
        </w:rPr>
        <w:t>)</w:t>
      </w:r>
      <w:r w:rsidRPr="008C0FB5">
        <w:rPr>
          <w:rFonts w:hint="cs"/>
          <w:rtl/>
        </w:rPr>
        <w:t xml:space="preserve"> سواء أراد العاقد هذه الآثار أم لم يردها ومعنى ذلك ان الشخص حر في أن يبيع أو لا يبيع وحر في أن يشتري أو لا يشتري ولكنه إذا أقدم على البيع أو الشراء فان الآثار تترتب سواء أراد هو هذه الآثار أم لم يردها فإذا تعاقد شخصان وأرادا أن لا يقع هذا الأثر وقع القصد باطلاً ولعل مرجع ذلك هو ان الناس لو تركوا وشأنهم في ترتيب ما يشاءون من آثار على العقود يخرجون عن حدود ما أمر الله به من العدل والمساواة ولأنتشر في عقودهم الغرر والجهالة والربا وما قد يستتبعه ذلك من غش أو خديعة وأكل مال الناس بالباطل</w:t>
      </w:r>
      <w:r w:rsidRPr="008C0FB5">
        <w:rPr>
          <w:rFonts w:cs="Saihat" w:hint="cs"/>
          <w:vertAlign w:val="superscript"/>
          <w:rtl/>
        </w:rPr>
        <w:t>(</w:t>
      </w:r>
      <w:r w:rsidRPr="008C0FB5">
        <w:rPr>
          <w:rFonts w:cs="Saihat"/>
          <w:vertAlign w:val="superscript"/>
          <w:rtl/>
        </w:rPr>
        <w:footnoteReference w:id="49"/>
      </w:r>
      <w:r w:rsidRPr="008C0FB5">
        <w:rPr>
          <w:rFonts w:cs="Saihat" w:hint="cs"/>
          <w:vertAlign w:val="superscript"/>
          <w:rtl/>
        </w:rPr>
        <w:t>)</w:t>
      </w:r>
      <w:r w:rsidRPr="008C0FB5">
        <w:rPr>
          <w:rFonts w:hint="cs"/>
          <w:rtl/>
        </w:rPr>
        <w:t xml:space="preserve">. وهذا ما سمي بمفهوم الجعلية بالمعنى الواسع ذلك ان الفقهاء لم يتفقوا على هذا المعنى مما دعاهم إلى تبرير قولهم بمفهوم الجعلية إلى إطلاق مصطلح مفهوم الجعلية بالمعنى الضيق وقد فسروا هذا المصطلح الأخير بأن الشارع هو الذي يرتب الحكم الأصلي للتصرف وينفذه في نفس الوقت، ففي عقد البيع مثلاً تنتقل ملكية المبيع بمجرد انعقاد العقد إلى المشتري، وتنتقل ملكية الثمن إلى البائع، والناقل لهما هو الشارع لا العاقد، أما الأحكام التابعة كالتزام البائع بتسليم المبيع فتنفيذها منوط بإرادة الأفراد لا بإرادة </w:t>
      </w:r>
      <w:proofErr w:type="gramStart"/>
      <w:r w:rsidRPr="008C0FB5">
        <w:rPr>
          <w:rFonts w:hint="cs"/>
          <w:rtl/>
        </w:rPr>
        <w:t>الشارع</w:t>
      </w:r>
      <w:r w:rsidRPr="008C0FB5">
        <w:rPr>
          <w:rFonts w:cs="Saihat" w:hint="cs"/>
          <w:vertAlign w:val="superscript"/>
          <w:rtl/>
        </w:rPr>
        <w:t>(</w:t>
      </w:r>
      <w:proofErr w:type="gramEnd"/>
      <w:r w:rsidRPr="008C0FB5">
        <w:rPr>
          <w:rFonts w:cs="Saihat"/>
          <w:vertAlign w:val="superscript"/>
          <w:rtl/>
        </w:rPr>
        <w:footnoteReference w:id="50"/>
      </w:r>
      <w:r w:rsidRPr="008C0FB5">
        <w:rPr>
          <w:rFonts w:cs="Saihat" w:hint="cs"/>
          <w:vertAlign w:val="superscript"/>
          <w:rtl/>
        </w:rPr>
        <w:t>)</w:t>
      </w:r>
      <w:r w:rsidRPr="008C0FB5">
        <w:rPr>
          <w:rFonts w:hint="cs"/>
          <w:rtl/>
        </w:rPr>
        <w:t>.</w:t>
      </w:r>
    </w:p>
    <w:p w14:paraId="5D26F5B9" w14:textId="77777777" w:rsidR="00BF09F7" w:rsidRPr="008C0FB5" w:rsidRDefault="00BF09F7" w:rsidP="00BF09F7">
      <w:pPr>
        <w:pStyle w:val="35"/>
        <w:rPr>
          <w:rFonts w:hint="cs"/>
          <w:rtl/>
        </w:rPr>
      </w:pPr>
      <w:r w:rsidRPr="008C0FB5">
        <w:rPr>
          <w:rFonts w:hint="cs"/>
          <w:rtl/>
        </w:rPr>
        <w:t xml:space="preserve">وبعد بيان مفهوم الجعلية بالمعنى الواسع والضيق يتبين لنا ان مفهوم الجعلية بالمعنى الواسع يتعارض مع مبدأ سلطان الإرادة، ذلك لأن هذه الجعلية تقتضي التضييق على حرية المتعاقدين في تعديل الآثار الموضوعة للعقود وهي تذهب إلى ان الأصل في الآثار أن تكون من صنع </w:t>
      </w:r>
      <w:proofErr w:type="gramStart"/>
      <w:r w:rsidRPr="008C0FB5">
        <w:rPr>
          <w:rFonts w:hint="cs"/>
          <w:rtl/>
        </w:rPr>
        <w:t>العاقد</w:t>
      </w:r>
      <w:r w:rsidRPr="008C0FB5">
        <w:rPr>
          <w:rFonts w:cs="Saihat" w:hint="cs"/>
          <w:vertAlign w:val="superscript"/>
          <w:rtl/>
        </w:rPr>
        <w:t>(</w:t>
      </w:r>
      <w:proofErr w:type="gramEnd"/>
      <w:r w:rsidRPr="008C0FB5">
        <w:rPr>
          <w:rFonts w:cs="Saihat"/>
          <w:vertAlign w:val="superscript"/>
          <w:rtl/>
        </w:rPr>
        <w:footnoteReference w:id="51"/>
      </w:r>
      <w:r w:rsidRPr="008C0FB5">
        <w:rPr>
          <w:rFonts w:cs="Saihat" w:hint="cs"/>
          <w:vertAlign w:val="superscript"/>
          <w:rtl/>
        </w:rPr>
        <w:t>)</w:t>
      </w:r>
      <w:r w:rsidRPr="008C0FB5">
        <w:rPr>
          <w:rFonts w:hint="cs"/>
          <w:rtl/>
        </w:rPr>
        <w:t>، وان مهمته تقتصر على احتضان هذه الآثار فالإرادة فيه تأمر والإرادة تتبنى هذا الأمر</w:t>
      </w:r>
      <w:r w:rsidRPr="008C0FB5">
        <w:rPr>
          <w:rFonts w:cs="Saihat" w:hint="cs"/>
          <w:vertAlign w:val="superscript"/>
          <w:rtl/>
        </w:rPr>
        <w:t>(</w:t>
      </w:r>
      <w:r w:rsidRPr="008C0FB5">
        <w:rPr>
          <w:rFonts w:cs="Saihat"/>
          <w:vertAlign w:val="superscript"/>
          <w:rtl/>
        </w:rPr>
        <w:footnoteReference w:id="52"/>
      </w:r>
      <w:r w:rsidRPr="008C0FB5">
        <w:rPr>
          <w:rFonts w:cs="Saihat" w:hint="cs"/>
          <w:vertAlign w:val="superscript"/>
          <w:rtl/>
        </w:rPr>
        <w:t>)</w:t>
      </w:r>
      <w:r w:rsidRPr="008C0FB5">
        <w:rPr>
          <w:rFonts w:hint="cs"/>
          <w:rtl/>
        </w:rPr>
        <w:t>.</w:t>
      </w:r>
    </w:p>
    <w:p w14:paraId="3AAD9FE3" w14:textId="77777777" w:rsidR="00BF09F7" w:rsidRPr="008C0FB5" w:rsidRDefault="00BF09F7" w:rsidP="00BF09F7">
      <w:pPr>
        <w:pStyle w:val="35"/>
        <w:rPr>
          <w:rFonts w:hint="cs"/>
          <w:rtl/>
        </w:rPr>
      </w:pPr>
      <w:r w:rsidRPr="008C0FB5">
        <w:rPr>
          <w:rFonts w:hint="cs"/>
          <w:rtl/>
        </w:rPr>
        <w:lastRenderedPageBreak/>
        <w:t xml:space="preserve">أما مفهوم الجعلية بالمعنى الضيق فانه يتفق مع مبدأ سلطان الإرادة ويستند ذلك إلى اتجاه إرادة العاقدين إلى تنفيذ الحكم الأصلي الذي قام الشارع بترتيبه، وقد ذهب </w:t>
      </w:r>
      <w:proofErr w:type="gramStart"/>
      <w:r w:rsidRPr="008C0FB5">
        <w:rPr>
          <w:rFonts w:hint="cs"/>
          <w:rtl/>
        </w:rPr>
        <w:t>الدكتور(</w:t>
      </w:r>
      <w:proofErr w:type="gramEnd"/>
      <w:r w:rsidRPr="008C0FB5">
        <w:rPr>
          <w:rFonts w:hint="cs"/>
          <w:rtl/>
        </w:rPr>
        <w:t xml:space="preserve">حسن ذنون) إلى هذا الرأي في رده على القائلين بوجود التعارض بين الجعلية ومبدأ سلطان الإرادة إذ يقول: </w:t>
      </w:r>
    </w:p>
    <w:p w14:paraId="31DB8D99" w14:textId="77777777" w:rsidR="00BF09F7" w:rsidRPr="008C0FB5" w:rsidRDefault="00BF09F7" w:rsidP="00A613BA">
      <w:pPr>
        <w:pStyle w:val="afffffff1"/>
        <w:rPr>
          <w:rFonts w:hint="cs"/>
          <w:rtl/>
        </w:rPr>
      </w:pPr>
      <w:r w:rsidRPr="008C0FB5">
        <w:rPr>
          <w:rFonts w:hint="cs"/>
          <w:rtl/>
        </w:rPr>
        <w:t>ونحن لا نتفق مع هذا الفريق ونرى انه ينظر إلى هذه المسألة نظرة سطحية تقف عند مظاهر الألفاظ.</w:t>
      </w:r>
    </w:p>
    <w:p w14:paraId="4ED40105" w14:textId="77777777" w:rsidR="00BF09F7" w:rsidRPr="008C0FB5" w:rsidRDefault="00BF09F7" w:rsidP="00BF09F7">
      <w:pPr>
        <w:pStyle w:val="35"/>
        <w:rPr>
          <w:rFonts w:hint="cs"/>
          <w:b/>
          <w:bCs/>
          <w:rtl/>
          <w:lang w:bidi="ar-SA"/>
        </w:rPr>
      </w:pPr>
      <w:r w:rsidRPr="008C0FB5">
        <w:rPr>
          <w:rFonts w:hint="cs"/>
          <w:b/>
          <w:bCs/>
          <w:rtl/>
          <w:lang w:bidi="ar-SA"/>
        </w:rPr>
        <w:t xml:space="preserve">حقيقة ان علماء الشريعة قالوا إن آثار العقود بجعل من </w:t>
      </w:r>
      <w:proofErr w:type="gramStart"/>
      <w:r w:rsidRPr="008C0FB5">
        <w:rPr>
          <w:rFonts w:hint="cs"/>
          <w:b/>
          <w:bCs/>
          <w:rtl/>
          <w:lang w:bidi="ar-SA"/>
        </w:rPr>
        <w:t>الشارع</w:t>
      </w:r>
      <w:proofErr w:type="gramEnd"/>
      <w:r w:rsidRPr="008C0FB5">
        <w:rPr>
          <w:rFonts w:hint="cs"/>
          <w:b/>
          <w:bCs/>
          <w:rtl/>
          <w:lang w:bidi="ar-SA"/>
        </w:rPr>
        <w:t xml:space="preserve"> ولكن ما هو المقصود من هذا القول؟ يقصد بالكلام المتقدم ان الشرع (أو القانون) هو مصدر القوة الملزمة للعقود وترتيب الالتزامات المتولدة </w:t>
      </w:r>
      <w:proofErr w:type="gramStart"/>
      <w:r w:rsidRPr="008C0FB5">
        <w:rPr>
          <w:rFonts w:hint="cs"/>
          <w:b/>
          <w:bCs/>
          <w:rtl/>
          <w:lang w:bidi="ar-SA"/>
        </w:rPr>
        <w:t>عنها</w:t>
      </w:r>
      <w:r w:rsidRPr="008C0FB5">
        <w:rPr>
          <w:rFonts w:cs="Saihat" w:hint="cs"/>
          <w:b/>
          <w:bCs/>
          <w:vertAlign w:val="superscript"/>
          <w:rtl/>
          <w:lang w:bidi="ar-SA"/>
        </w:rPr>
        <w:t>(</w:t>
      </w:r>
      <w:proofErr w:type="gramEnd"/>
      <w:r w:rsidRPr="008C0FB5">
        <w:rPr>
          <w:rFonts w:cs="Saihat"/>
          <w:b/>
          <w:bCs/>
          <w:vertAlign w:val="superscript"/>
          <w:rtl/>
          <w:lang w:bidi="ar-SA"/>
        </w:rPr>
        <w:footnoteReference w:id="53"/>
      </w:r>
      <w:r w:rsidRPr="008C0FB5">
        <w:rPr>
          <w:rFonts w:cs="Saihat" w:hint="cs"/>
          <w:b/>
          <w:bCs/>
          <w:vertAlign w:val="superscript"/>
          <w:rtl/>
          <w:lang w:bidi="ar-SA"/>
        </w:rPr>
        <w:t>)</w:t>
      </w:r>
      <w:r w:rsidRPr="008C0FB5">
        <w:rPr>
          <w:rFonts w:hint="cs"/>
          <w:b/>
          <w:bCs/>
          <w:rtl/>
          <w:lang w:bidi="ar-SA"/>
        </w:rPr>
        <w:t>.</w:t>
      </w:r>
    </w:p>
    <w:p w14:paraId="3637FFDF" w14:textId="77777777" w:rsidR="00BF09F7" w:rsidRPr="008C0FB5" w:rsidRDefault="00BF09F7" w:rsidP="00BF09F7">
      <w:pPr>
        <w:pStyle w:val="35"/>
        <w:rPr>
          <w:rFonts w:hint="cs"/>
          <w:rtl/>
        </w:rPr>
      </w:pPr>
      <w:r w:rsidRPr="008C0FB5">
        <w:rPr>
          <w:rFonts w:hint="cs"/>
          <w:rtl/>
        </w:rPr>
        <w:t xml:space="preserve">وخلاصة ما تقدم، هو ان البعض قد بالغ في تفسير الجعلية مما دعا البعض الآخر بوصف الجعلية بأنها شطحة </w:t>
      </w:r>
      <w:proofErr w:type="gramStart"/>
      <w:r w:rsidRPr="008C0FB5">
        <w:rPr>
          <w:rFonts w:hint="cs"/>
          <w:rtl/>
        </w:rPr>
        <w:t>كلامية</w:t>
      </w:r>
      <w:r w:rsidRPr="008C0FB5">
        <w:rPr>
          <w:rFonts w:cs="Saihat" w:hint="cs"/>
          <w:vertAlign w:val="superscript"/>
          <w:rtl/>
        </w:rPr>
        <w:t>(</w:t>
      </w:r>
      <w:proofErr w:type="gramEnd"/>
      <w:r w:rsidRPr="008C0FB5">
        <w:rPr>
          <w:rFonts w:cs="Saihat"/>
          <w:vertAlign w:val="superscript"/>
          <w:rtl/>
        </w:rPr>
        <w:footnoteReference w:id="54"/>
      </w:r>
      <w:r w:rsidRPr="008C0FB5">
        <w:rPr>
          <w:rFonts w:cs="Saihat" w:hint="cs"/>
          <w:vertAlign w:val="superscript"/>
          <w:rtl/>
        </w:rPr>
        <w:t>)</w:t>
      </w:r>
      <w:r w:rsidRPr="008C0FB5">
        <w:rPr>
          <w:rFonts w:hint="cs"/>
          <w:rtl/>
        </w:rPr>
        <w:t xml:space="preserve"> ذلك ان للإرادة دوراً يجب أن نقره لها، ويجب أن نجرها عن تواضعها الذي أراده لها المتطرفون، فالآثار في نظرنا تترتب إعمالاً لإرادة العاقد والشارع وإسهام الإرادة في ترتيب الآثار يختلف حسب طبيعة التشريع أو المذهب وحسب طبيعة العقد.</w:t>
      </w:r>
    </w:p>
    <w:p w14:paraId="1D5FECCC" w14:textId="77777777" w:rsidR="009A1071" w:rsidRPr="008C0FB5" w:rsidRDefault="00BF09F7" w:rsidP="00BF09F7">
      <w:pPr>
        <w:pStyle w:val="35"/>
        <w:rPr>
          <w:rtl/>
        </w:rPr>
      </w:pPr>
      <w:r w:rsidRPr="008C0FB5">
        <w:rPr>
          <w:rFonts w:hint="cs"/>
          <w:rtl/>
        </w:rPr>
        <w:t xml:space="preserve">فالمذاهب الإسلامية لم تقف موقفاً موحداً بالنسبة لدور الشارع فقد اختلف هذا الدور بين مهب وآخر، فالمذهب الحنبلي الذي أعدى للإرادة شأناً كبيراً وسلطاناً واسعاً في إنشاء العقد وترتيب آثاره يضمر فيه دور الشارع في ترتيب </w:t>
      </w:r>
      <w:proofErr w:type="gramStart"/>
      <w:r w:rsidRPr="008C0FB5">
        <w:rPr>
          <w:rFonts w:hint="cs"/>
          <w:rtl/>
        </w:rPr>
        <w:t>الأثر</w:t>
      </w:r>
      <w:r w:rsidRPr="008C0FB5">
        <w:rPr>
          <w:rFonts w:cs="Saihat" w:hint="cs"/>
          <w:vertAlign w:val="superscript"/>
          <w:rtl/>
        </w:rPr>
        <w:t>(</w:t>
      </w:r>
      <w:proofErr w:type="gramEnd"/>
      <w:r w:rsidRPr="008C0FB5">
        <w:rPr>
          <w:rFonts w:cs="Saihat"/>
          <w:vertAlign w:val="superscript"/>
          <w:rtl/>
        </w:rPr>
        <w:footnoteReference w:id="55"/>
      </w:r>
      <w:r w:rsidRPr="008C0FB5">
        <w:rPr>
          <w:rFonts w:cs="Saihat" w:hint="cs"/>
          <w:vertAlign w:val="superscript"/>
          <w:rtl/>
        </w:rPr>
        <w:t>)</w:t>
      </w:r>
      <w:r w:rsidRPr="008C0FB5">
        <w:rPr>
          <w:rFonts w:hint="cs"/>
          <w:rtl/>
        </w:rPr>
        <w:t xml:space="preserve"> بينما يعظم هذا الدور في بعض المذاهب الأخرى التي قيدت من سلطان الإرادة وحصرته في دائرة ضيقة ومن هؤلاء الشافعي</w:t>
      </w:r>
      <w:r w:rsidRPr="008C0FB5">
        <w:rPr>
          <w:rFonts w:cs="Saihat" w:hint="cs"/>
          <w:vertAlign w:val="superscript"/>
          <w:rtl/>
        </w:rPr>
        <w:t>(</w:t>
      </w:r>
      <w:r w:rsidRPr="008C0FB5">
        <w:rPr>
          <w:rFonts w:cs="Saihat"/>
          <w:vertAlign w:val="superscript"/>
          <w:rtl/>
        </w:rPr>
        <w:footnoteReference w:id="56"/>
      </w:r>
      <w:r w:rsidRPr="008C0FB5">
        <w:rPr>
          <w:rFonts w:cs="Saihat" w:hint="cs"/>
          <w:vertAlign w:val="superscript"/>
          <w:rtl/>
        </w:rPr>
        <w:t>)</w:t>
      </w:r>
      <w:r w:rsidRPr="008C0FB5">
        <w:rPr>
          <w:rFonts w:hint="cs"/>
          <w:rtl/>
        </w:rPr>
        <w:t>، ولم يقف الأمر عند هذا الحد فقد وقف البعض موقفاً وسطاً من هذا الدور الذي أعطى للإرادة</w:t>
      </w:r>
      <w:r w:rsidRPr="008C0FB5">
        <w:rPr>
          <w:rFonts w:cs="Saihat" w:hint="cs"/>
          <w:vertAlign w:val="superscript"/>
          <w:rtl/>
        </w:rPr>
        <w:t>(</w:t>
      </w:r>
      <w:r w:rsidRPr="008C0FB5">
        <w:rPr>
          <w:rFonts w:cs="Saihat"/>
          <w:vertAlign w:val="superscript"/>
          <w:rtl/>
        </w:rPr>
        <w:footnoteReference w:id="57"/>
      </w:r>
      <w:r w:rsidRPr="008C0FB5">
        <w:rPr>
          <w:rFonts w:cs="Saihat" w:hint="cs"/>
          <w:vertAlign w:val="superscript"/>
          <w:rtl/>
        </w:rPr>
        <w:t>)</w:t>
      </w:r>
      <w:r w:rsidRPr="008C0FB5">
        <w:rPr>
          <w:rFonts w:hint="cs"/>
          <w:rtl/>
        </w:rPr>
        <w:t>.</w:t>
      </w:r>
    </w:p>
    <w:p w14:paraId="040C1F56" w14:textId="77777777" w:rsidR="009A1071" w:rsidRPr="008C0FB5" w:rsidRDefault="009A1071" w:rsidP="00BF09F7">
      <w:pPr>
        <w:pStyle w:val="af8"/>
        <w:rPr>
          <w:rtl/>
          <w:lang w:bidi="ar-IQ"/>
        </w:rPr>
      </w:pPr>
      <w:bookmarkStart w:id="43" w:name="_Toc8643635"/>
      <w:r w:rsidRPr="008C0FB5">
        <w:rPr>
          <w:rtl/>
          <w:lang w:bidi="ar-IQ"/>
        </w:rPr>
        <w:t>الفرع الثاني</w:t>
      </w:r>
      <w:r w:rsidR="00FD70E3" w:rsidRPr="008C0FB5">
        <w:rPr>
          <w:rtl/>
          <w:lang w:bidi="ar-IQ"/>
        </w:rPr>
        <w:t xml:space="preserve">: </w:t>
      </w:r>
      <w:r w:rsidR="00BF09F7" w:rsidRPr="008C0FB5">
        <w:rPr>
          <w:rtl/>
          <w:lang w:bidi="ar-IQ"/>
        </w:rPr>
        <w:t>دور الإرادة في إنشاء العقود في القانون</w:t>
      </w:r>
      <w:bookmarkEnd w:id="43"/>
    </w:p>
    <w:p w14:paraId="601AD5D2" w14:textId="77777777" w:rsidR="00BF09F7" w:rsidRPr="008C0FB5" w:rsidRDefault="00BF09F7" w:rsidP="00C253D0">
      <w:pPr>
        <w:pStyle w:val="48"/>
        <w:rPr>
          <w:rFonts w:hint="cs"/>
          <w:rtl/>
        </w:rPr>
      </w:pPr>
      <w:r w:rsidRPr="008C0FB5">
        <w:rPr>
          <w:rFonts w:hint="cs"/>
          <w:rtl/>
        </w:rPr>
        <w:t>إن المبدأ السائد في القانون المدني هو مبدأ سلطان الإرادة سواء من حيث إنشاء العقد أو من حيث ترتيب آثاره في حدود النظام العام والآداب العامة فالإرادة قادرة على إنشاء ما تريد من عقود وعلى ترتيب ما تشاء من آثار عليها، غير محددة في ذلك إلا بالنظام العام والآداب العامة والمصالح الخاصة.</w:t>
      </w:r>
    </w:p>
    <w:p w14:paraId="0089C03F" w14:textId="77777777" w:rsidR="00BF09F7" w:rsidRPr="008C0FB5" w:rsidRDefault="00BF09F7" w:rsidP="00C35031">
      <w:pPr>
        <w:pStyle w:val="35"/>
        <w:rPr>
          <w:rFonts w:hint="cs"/>
          <w:rtl/>
        </w:rPr>
      </w:pPr>
      <w:r w:rsidRPr="008C0FB5">
        <w:rPr>
          <w:rFonts w:hint="cs"/>
          <w:rtl/>
        </w:rPr>
        <w:t xml:space="preserve">ومن القوانين المدنية الوضعية التي تأثرت إلى حد كبير بالمبدأ المذكور، القانون المدني الفرنسي فقد جاءت المادة 1134 منه عنواناً لمبدأ سلطان الإرادة في إنشاء العقود، حيث نصت على ان الاتفاق إذا تم شرعاً فانه يقوم مقام القانون لمن </w:t>
      </w:r>
      <w:proofErr w:type="gramStart"/>
      <w:r w:rsidRPr="008C0FB5">
        <w:rPr>
          <w:rFonts w:hint="cs"/>
          <w:rtl/>
        </w:rPr>
        <w:t>تعاقد</w:t>
      </w:r>
      <w:r w:rsidRPr="008C0FB5">
        <w:rPr>
          <w:rFonts w:cs="Saihat" w:hint="cs"/>
          <w:vertAlign w:val="superscript"/>
          <w:rtl/>
        </w:rPr>
        <w:t>(</w:t>
      </w:r>
      <w:proofErr w:type="gramEnd"/>
      <w:r w:rsidRPr="008C0FB5">
        <w:rPr>
          <w:rStyle w:val="af0"/>
          <w:rFonts w:cs="Saihat"/>
          <w:sz w:val="30"/>
          <w:rtl/>
        </w:rPr>
        <w:footnoteReference w:id="58"/>
      </w:r>
      <w:r w:rsidRPr="008C0FB5">
        <w:rPr>
          <w:rFonts w:cs="Saihat" w:hint="cs"/>
          <w:vertAlign w:val="superscript"/>
          <w:rtl/>
        </w:rPr>
        <w:t>)</w:t>
      </w:r>
      <w:r w:rsidRPr="008C0FB5">
        <w:rPr>
          <w:rFonts w:hint="cs"/>
          <w:rtl/>
        </w:rPr>
        <w:t>.</w:t>
      </w:r>
    </w:p>
    <w:p w14:paraId="3FA0D407" w14:textId="77777777" w:rsidR="00BF09F7" w:rsidRPr="008C0FB5" w:rsidRDefault="00BF09F7" w:rsidP="00C35031">
      <w:pPr>
        <w:pStyle w:val="35"/>
        <w:rPr>
          <w:rFonts w:hint="cs"/>
          <w:rtl/>
        </w:rPr>
      </w:pPr>
      <w:r w:rsidRPr="008C0FB5">
        <w:rPr>
          <w:rFonts w:hint="cs"/>
          <w:rtl/>
        </w:rPr>
        <w:t xml:space="preserve">كما ذهب إلى ذلك القانون المدني المصري في المادة 152 منه حيث نصت على انه (لا </w:t>
      </w:r>
      <w:r w:rsidRPr="008C0FB5">
        <w:rPr>
          <w:rFonts w:hint="cs"/>
          <w:rtl/>
        </w:rPr>
        <w:lastRenderedPageBreak/>
        <w:t xml:space="preserve">يرتب العقد التزاماً في ذمة الغير، ولكن يجوز أن يكسبه حقاً) كما نصت المادة 147 من نفس القانون ما يلي: </w:t>
      </w:r>
    </w:p>
    <w:p w14:paraId="17F2F1A7" w14:textId="77777777" w:rsidR="00BF09F7" w:rsidRPr="008C0FB5" w:rsidRDefault="00BF09F7" w:rsidP="00A613BA">
      <w:pPr>
        <w:pStyle w:val="afffffff1"/>
        <w:rPr>
          <w:rFonts w:hint="cs"/>
          <w:rtl/>
        </w:rPr>
      </w:pPr>
      <w:r w:rsidRPr="008C0FB5">
        <w:rPr>
          <w:rFonts w:hint="cs"/>
          <w:rtl/>
        </w:rPr>
        <w:t xml:space="preserve">1- العقد شريعة المتعاقدين فلا يجوز نقضه ولا تعديله إلا باتفاق الطرفين وللأسباب التي يقررها </w:t>
      </w:r>
      <w:proofErr w:type="gramStart"/>
      <w:r w:rsidRPr="008C0FB5">
        <w:rPr>
          <w:rFonts w:hint="cs"/>
          <w:rtl/>
        </w:rPr>
        <w:t>القانون</w:t>
      </w:r>
      <w:r w:rsidRPr="008C0FB5">
        <w:rPr>
          <w:rFonts w:hint="cs"/>
          <w:szCs w:val="30"/>
          <w:vertAlign w:val="superscript"/>
          <w:rtl/>
        </w:rPr>
        <w:t>(</w:t>
      </w:r>
      <w:proofErr w:type="gramEnd"/>
      <w:r w:rsidRPr="008C0FB5">
        <w:rPr>
          <w:rStyle w:val="af0"/>
          <w:sz w:val="30"/>
          <w:szCs w:val="30"/>
          <w:rtl/>
        </w:rPr>
        <w:footnoteReference w:id="59"/>
      </w:r>
      <w:r w:rsidRPr="008C0FB5">
        <w:rPr>
          <w:rFonts w:hint="cs"/>
          <w:szCs w:val="30"/>
          <w:vertAlign w:val="superscript"/>
          <w:rtl/>
        </w:rPr>
        <w:t>)</w:t>
      </w:r>
      <w:r w:rsidRPr="008C0FB5">
        <w:rPr>
          <w:rFonts w:hint="cs"/>
          <w:rtl/>
        </w:rPr>
        <w:t>.</w:t>
      </w:r>
    </w:p>
    <w:p w14:paraId="5E2D6231" w14:textId="77777777" w:rsidR="00BF09F7" w:rsidRPr="008C0FB5" w:rsidRDefault="00BF09F7" w:rsidP="00C35031">
      <w:pPr>
        <w:pStyle w:val="35"/>
        <w:rPr>
          <w:rFonts w:hint="cs"/>
          <w:rtl/>
        </w:rPr>
      </w:pPr>
      <w:r w:rsidRPr="008C0FB5">
        <w:rPr>
          <w:rFonts w:hint="cs"/>
          <w:rtl/>
        </w:rPr>
        <w:t xml:space="preserve">ولم يشذ القانون المدني العراقي عن القوانين سالفة الذكر في التأثر بمبدأ سلطان الإرادة وما لها من دور في تكوين أو إنهاء أو تعديل التصرفات القانونية فاعتبر العقد شريعة المتعاقدين وقد نصت المادة (146/1) على ذلك بقولها </w:t>
      </w:r>
    </w:p>
    <w:p w14:paraId="0E1CD96E" w14:textId="77777777" w:rsidR="00BF09F7" w:rsidRPr="008C0FB5" w:rsidRDefault="00BF09F7" w:rsidP="00A613BA">
      <w:pPr>
        <w:pStyle w:val="afffffff1"/>
        <w:rPr>
          <w:rFonts w:hint="cs"/>
          <w:rtl/>
        </w:rPr>
      </w:pPr>
      <w:r w:rsidRPr="008C0FB5">
        <w:rPr>
          <w:rFonts w:hint="cs"/>
          <w:rtl/>
        </w:rPr>
        <w:t>إذا نفذ العقد كان لازماً، ولا يجوز لأحد العاقدين الرجوع عنه ولا تعديله إلا بمقتضى نص في القانون أو التراضي</w:t>
      </w:r>
      <w:r w:rsidR="003E1E9A" w:rsidRPr="008C0FB5">
        <w:rPr>
          <w:rFonts w:hint="cs"/>
          <w:rtl/>
          <w:lang w:bidi="ar-IQ"/>
        </w:rPr>
        <w:t>.</w:t>
      </w:r>
    </w:p>
    <w:p w14:paraId="03CE0C75" w14:textId="77777777" w:rsidR="00BF09F7" w:rsidRPr="008C0FB5" w:rsidRDefault="00BF09F7" w:rsidP="00C35031">
      <w:pPr>
        <w:pStyle w:val="35"/>
        <w:rPr>
          <w:rFonts w:hint="cs"/>
          <w:rtl/>
        </w:rPr>
      </w:pPr>
      <w:r w:rsidRPr="008C0FB5">
        <w:rPr>
          <w:rFonts w:hint="cs"/>
          <w:rtl/>
        </w:rPr>
        <w:t>والواقع ان ما قررته التشريعات المدنية المذكورة من إبراز لقوة الرابطة العقدية وإلزامها بفعل الإرادة يعود إلى نص المادة 1134 من القانون المدني الفرنسي وان القوانين المدنية المصري والعراقي والجزائري، تأثرت بصورة مباشرة بالمادة 1134</w:t>
      </w:r>
      <w:r w:rsidRPr="008C0FB5">
        <w:rPr>
          <w:rFonts w:cs="Saihat" w:hint="cs"/>
          <w:vertAlign w:val="superscript"/>
          <w:rtl/>
        </w:rPr>
        <w:t>(</w:t>
      </w:r>
      <w:r w:rsidRPr="008C0FB5">
        <w:rPr>
          <w:rStyle w:val="af0"/>
          <w:rFonts w:cs="Saihat"/>
          <w:sz w:val="30"/>
          <w:rtl/>
        </w:rPr>
        <w:footnoteReference w:id="60"/>
      </w:r>
      <w:r w:rsidRPr="008C0FB5">
        <w:rPr>
          <w:rFonts w:cs="Saihat" w:hint="cs"/>
          <w:vertAlign w:val="superscript"/>
          <w:rtl/>
        </w:rPr>
        <w:t>)</w:t>
      </w:r>
      <w:r w:rsidRPr="008C0FB5">
        <w:rPr>
          <w:rFonts w:hint="cs"/>
          <w:rtl/>
        </w:rPr>
        <w:t>.</w:t>
      </w:r>
    </w:p>
    <w:p w14:paraId="12C0A086" w14:textId="77777777" w:rsidR="00BF09F7" w:rsidRPr="008C0FB5" w:rsidRDefault="00BF09F7" w:rsidP="00C35031">
      <w:pPr>
        <w:pStyle w:val="35"/>
        <w:rPr>
          <w:rFonts w:hint="cs"/>
          <w:rtl/>
        </w:rPr>
      </w:pPr>
      <w:r w:rsidRPr="008C0FB5">
        <w:rPr>
          <w:rFonts w:hint="cs"/>
          <w:rtl/>
        </w:rPr>
        <w:t xml:space="preserve">ومبدأ سلطان الإرادة في تكوين العقود نشأ في ظل النظام الفردي، هذا المذهب الذي يقوم على تبجيل الفرد واعتباره محور القانون وأساسه، وهو أن يبجل الفرد فهو يبجل فيه حياته وحريته وحقوقه وتفكيره وإرادته ومن هنا ساد مبدأ سلطان </w:t>
      </w:r>
      <w:proofErr w:type="gramStart"/>
      <w:r w:rsidRPr="008C0FB5">
        <w:rPr>
          <w:rFonts w:hint="cs"/>
          <w:rtl/>
        </w:rPr>
        <w:t>الإرادة</w:t>
      </w:r>
      <w:r w:rsidRPr="008C0FB5">
        <w:rPr>
          <w:rFonts w:cs="Saihat" w:hint="cs"/>
          <w:vertAlign w:val="superscript"/>
          <w:rtl/>
        </w:rPr>
        <w:t>(</w:t>
      </w:r>
      <w:proofErr w:type="gramEnd"/>
      <w:r w:rsidRPr="008C0FB5">
        <w:rPr>
          <w:rStyle w:val="af0"/>
          <w:rFonts w:cs="Saihat"/>
          <w:sz w:val="30"/>
          <w:rtl/>
        </w:rPr>
        <w:footnoteReference w:id="61"/>
      </w:r>
      <w:r w:rsidRPr="008C0FB5">
        <w:rPr>
          <w:rFonts w:cs="Saihat" w:hint="cs"/>
          <w:vertAlign w:val="superscript"/>
          <w:rtl/>
        </w:rPr>
        <w:t>)</w:t>
      </w:r>
      <w:r w:rsidRPr="008C0FB5">
        <w:rPr>
          <w:rFonts w:hint="cs"/>
          <w:rtl/>
        </w:rPr>
        <w:t xml:space="preserve"> وبرز في أجلى صوره عقب إعلان حقوق الإنسان والمواطن في فرنسا وان فلسفته تجسدت في ان الناس ولدوا أحراراً ومتساوين في الحقوق ولهم مطلق الحرية في إبرام التصرفات القانونية لأن الفرد وجد قبل المجتمع. إلا ان هذا المبدأ قد انحسر بفعل انتقادات المذهب الاجتماعي الذي ينكر للإرادة دورها المهم الذي جعله لها أنصار المذهب الفردي وجعلوا لها دور متواضع في إنشاء التصرفات القانونية كما انها ليست إلا وسيلة لتحقيق غاية تخضع لقيود ترتبط بمصلحة </w:t>
      </w:r>
      <w:proofErr w:type="gramStart"/>
      <w:r w:rsidRPr="008C0FB5">
        <w:rPr>
          <w:rFonts w:hint="cs"/>
          <w:rtl/>
        </w:rPr>
        <w:t>المجتمع</w:t>
      </w:r>
      <w:r w:rsidRPr="008C0FB5">
        <w:rPr>
          <w:rFonts w:cs="Saihat" w:hint="cs"/>
          <w:vertAlign w:val="superscript"/>
          <w:rtl/>
        </w:rPr>
        <w:t>(</w:t>
      </w:r>
      <w:proofErr w:type="gramEnd"/>
      <w:r w:rsidRPr="008C0FB5">
        <w:rPr>
          <w:rStyle w:val="af0"/>
          <w:rFonts w:cs="Saihat"/>
          <w:sz w:val="30"/>
          <w:rtl/>
        </w:rPr>
        <w:footnoteReference w:id="62"/>
      </w:r>
      <w:r w:rsidRPr="008C0FB5">
        <w:rPr>
          <w:rFonts w:cs="Saihat" w:hint="cs"/>
          <w:vertAlign w:val="superscript"/>
          <w:rtl/>
        </w:rPr>
        <w:t>)</w:t>
      </w:r>
      <w:r w:rsidRPr="008C0FB5">
        <w:rPr>
          <w:rFonts w:hint="cs"/>
          <w:rtl/>
        </w:rPr>
        <w:t xml:space="preserve">.  </w:t>
      </w:r>
    </w:p>
    <w:p w14:paraId="02DAFB1E" w14:textId="77777777" w:rsidR="00BF09F7" w:rsidRPr="008C0FB5" w:rsidRDefault="00BF09F7" w:rsidP="00C35031">
      <w:pPr>
        <w:pStyle w:val="35"/>
        <w:rPr>
          <w:rFonts w:hint="cs"/>
          <w:rtl/>
        </w:rPr>
      </w:pPr>
      <w:r w:rsidRPr="008C0FB5">
        <w:rPr>
          <w:rFonts w:hint="cs"/>
          <w:rtl/>
        </w:rPr>
        <w:t xml:space="preserve">كما ان الدولة قد ازداد تدخلها في شؤون الأفراد وفكرة النظام العام اتسعت اتساعاً مضطرداً حتى ان العميد (ريبير </w:t>
      </w:r>
      <w:proofErr w:type="spellStart"/>
      <w:r w:rsidRPr="008C0FB5">
        <w:rPr>
          <w:rFonts w:ascii="Times New Roman" w:hAnsi="Times New Roman" w:cs="Times New Roman"/>
        </w:rPr>
        <w:t>Ripert</w:t>
      </w:r>
      <w:proofErr w:type="spellEnd"/>
      <w:r w:rsidRPr="008C0FB5">
        <w:rPr>
          <w:rFonts w:hint="cs"/>
          <w:rtl/>
        </w:rPr>
        <w:t xml:space="preserve">) قال بصدد ذلك ان العقد في الوقت الحاضر قد ظهر كأنه خضوع الأطراف إلى مجموع القواعد الإجبارية في </w:t>
      </w:r>
      <w:proofErr w:type="gramStart"/>
      <w:r w:rsidRPr="008C0FB5">
        <w:rPr>
          <w:rFonts w:hint="cs"/>
          <w:rtl/>
        </w:rPr>
        <w:t>القانون</w:t>
      </w:r>
      <w:r w:rsidRPr="008C0FB5">
        <w:rPr>
          <w:rFonts w:cs="Saihat" w:hint="cs"/>
          <w:vertAlign w:val="superscript"/>
          <w:rtl/>
        </w:rPr>
        <w:t>(</w:t>
      </w:r>
      <w:proofErr w:type="gramEnd"/>
      <w:r w:rsidRPr="008C0FB5">
        <w:rPr>
          <w:rStyle w:val="af0"/>
          <w:rFonts w:cs="Saihat"/>
          <w:sz w:val="30"/>
          <w:rtl/>
        </w:rPr>
        <w:footnoteReference w:id="63"/>
      </w:r>
      <w:r w:rsidRPr="008C0FB5">
        <w:rPr>
          <w:rFonts w:cs="Saihat" w:hint="cs"/>
          <w:vertAlign w:val="superscript"/>
          <w:rtl/>
        </w:rPr>
        <w:t>)</w:t>
      </w:r>
      <w:r w:rsidRPr="008C0FB5">
        <w:rPr>
          <w:rFonts w:hint="cs"/>
          <w:rtl/>
        </w:rPr>
        <w:t>.</w:t>
      </w:r>
    </w:p>
    <w:p w14:paraId="25E0577C" w14:textId="77777777" w:rsidR="00BF09F7" w:rsidRPr="008C0FB5" w:rsidRDefault="00BF09F7" w:rsidP="00C35031">
      <w:pPr>
        <w:pStyle w:val="35"/>
        <w:rPr>
          <w:rFonts w:hint="cs"/>
          <w:rtl/>
        </w:rPr>
      </w:pPr>
      <w:r w:rsidRPr="008C0FB5">
        <w:rPr>
          <w:rFonts w:hint="cs"/>
          <w:rtl/>
        </w:rPr>
        <w:t>وفي هذا الصدد ذهب قانون إصلاح النظام القانوني رقم 35 لسنة 1977 إلى بيان أسس إصلاح الحياة القانونية المدنية في نطاق الحقوق الشخصية ولاسيما ما يتعلق بمبدأ سلطان الإرادي وهي:</w:t>
      </w:r>
    </w:p>
    <w:p w14:paraId="2A89029F" w14:textId="77777777" w:rsidR="00BF09F7" w:rsidRPr="008C0FB5" w:rsidRDefault="00BF09F7" w:rsidP="00C253D0">
      <w:pPr>
        <w:pStyle w:val="48"/>
        <w:numPr>
          <w:ilvl w:val="0"/>
          <w:numId w:val="46"/>
        </w:numPr>
        <w:rPr>
          <w:rFonts w:hint="cs"/>
          <w:rtl/>
        </w:rPr>
      </w:pPr>
      <w:r w:rsidRPr="008C0FB5">
        <w:rPr>
          <w:rFonts w:hint="cs"/>
          <w:rtl/>
        </w:rPr>
        <w:t xml:space="preserve">إعطاء الأولوية لمصلحة المجتمع المتمثلة بالدولة على مصلحة الأفراد المتمثلة في مبدأ سلطان الإرادة في تنفيذ وتفسير العلاقات القانونية، وبالتالي تقليص الفروق بين علاقات </w:t>
      </w:r>
      <w:r w:rsidRPr="008C0FB5">
        <w:rPr>
          <w:rFonts w:hint="cs"/>
          <w:rtl/>
        </w:rPr>
        <w:lastRenderedPageBreak/>
        <w:t>القانون العام وعلاقات القانون الخاص التي تجد أساسها في الفكر الليبرالي الرأسمالي.</w:t>
      </w:r>
    </w:p>
    <w:p w14:paraId="65365EAF" w14:textId="77777777" w:rsidR="00BF09F7" w:rsidRPr="008C0FB5" w:rsidRDefault="00BF09F7" w:rsidP="00C253D0">
      <w:pPr>
        <w:pStyle w:val="48"/>
        <w:numPr>
          <w:ilvl w:val="0"/>
          <w:numId w:val="46"/>
        </w:numPr>
        <w:rPr>
          <w:rFonts w:hint="cs"/>
          <w:rtl/>
        </w:rPr>
      </w:pPr>
      <w:r w:rsidRPr="008C0FB5">
        <w:rPr>
          <w:rFonts w:hint="cs"/>
          <w:rtl/>
        </w:rPr>
        <w:t>التركيز في العقود على التوازن بين الحقوق والالتزامات المتولدة عنها وإبطال ما يخالف ذلك وجواز تعديل العقد من قبل القضاء، بما يحقق هذا التوازن ومنع التصرف في الحقوق المتنازع عليها، وذلك تحقيقاً للعدالة ومنعاً للتحكم وغضاً من شوكة سلطان الإرادة في دائرة العلاقات العقدية، إذ أضحت مصدراً للاستغلال.</w:t>
      </w:r>
    </w:p>
    <w:p w14:paraId="71DB4001" w14:textId="77777777" w:rsidR="009A1071" w:rsidRPr="008C0FB5" w:rsidRDefault="00BF09F7" w:rsidP="00BF09F7">
      <w:pPr>
        <w:pStyle w:val="48"/>
        <w:rPr>
          <w:rtl/>
        </w:rPr>
      </w:pPr>
      <w:r w:rsidRPr="008C0FB5">
        <w:rPr>
          <w:rFonts w:hint="cs"/>
          <w:rtl/>
        </w:rPr>
        <w:t xml:space="preserve">والخلاصة، هي ان الفقه الحديث والقوانين المدنية الحديثة تقر بمبدأ سلطان الإرادة في إنشاء التصرفات </w:t>
      </w:r>
      <w:proofErr w:type="gramStart"/>
      <w:r w:rsidRPr="008C0FB5">
        <w:rPr>
          <w:rFonts w:hint="cs"/>
          <w:rtl/>
        </w:rPr>
        <w:t>القانونية</w:t>
      </w:r>
      <w:proofErr w:type="gramEnd"/>
      <w:r w:rsidRPr="008C0FB5">
        <w:rPr>
          <w:rFonts w:hint="cs"/>
          <w:rtl/>
        </w:rPr>
        <w:t xml:space="preserve"> ولكن في حدودها المعقولة.</w:t>
      </w:r>
      <w:r w:rsidR="009A1071" w:rsidRPr="008C0FB5">
        <w:rPr>
          <w:rtl/>
        </w:rPr>
        <w:t xml:space="preserve"> </w:t>
      </w:r>
    </w:p>
    <w:p w14:paraId="03335DCE" w14:textId="77777777" w:rsidR="009A1071" w:rsidRPr="008C0FB5" w:rsidRDefault="00E634C5" w:rsidP="00914FA7">
      <w:pPr>
        <w:pStyle w:val="a1"/>
        <w:rPr>
          <w:rFonts w:hint="cs"/>
        </w:rPr>
      </w:pPr>
      <w:r w:rsidRPr="008C0FB5">
        <w:rPr>
          <w:rtl/>
        </w:rPr>
        <w:br w:type="page"/>
      </w:r>
      <w:bookmarkStart w:id="44" w:name="_Toc8643636"/>
      <w:r w:rsidR="009A1071" w:rsidRPr="008C0FB5">
        <w:rPr>
          <w:rtl/>
        </w:rPr>
        <w:lastRenderedPageBreak/>
        <w:t xml:space="preserve">المطلب </w:t>
      </w:r>
      <w:r w:rsidR="00914FA7" w:rsidRPr="008C0FB5">
        <w:rPr>
          <w:rFonts w:hint="cs"/>
          <w:rtl/>
        </w:rPr>
        <w:t>السادس</w:t>
      </w:r>
      <w:r w:rsidR="00FD70E3" w:rsidRPr="008C0FB5">
        <w:rPr>
          <w:rtl/>
        </w:rPr>
        <w:t xml:space="preserve">: </w:t>
      </w:r>
      <w:r w:rsidR="00BF09F7" w:rsidRPr="008C0FB5">
        <w:rPr>
          <w:rFonts w:hint="cs"/>
          <w:rtl/>
        </w:rPr>
        <w:t>دور الباعث في تقييد الإرادة في إنشاء العقود</w:t>
      </w:r>
      <w:bookmarkEnd w:id="44"/>
      <w:r w:rsidR="00BF09F7" w:rsidRPr="008C0FB5">
        <w:rPr>
          <w:rtl/>
        </w:rPr>
        <w:t xml:space="preserve"> </w:t>
      </w:r>
    </w:p>
    <w:p w14:paraId="64A249A0" w14:textId="77777777" w:rsidR="00BF09F7" w:rsidRPr="008C0FB5" w:rsidRDefault="00BF09F7" w:rsidP="00BF09F7">
      <w:pPr>
        <w:pStyle w:val="48"/>
        <w:rPr>
          <w:rFonts w:hint="cs"/>
          <w:rtl/>
        </w:rPr>
      </w:pPr>
      <w:r w:rsidRPr="008C0FB5">
        <w:rPr>
          <w:rFonts w:hint="cs"/>
          <w:rtl/>
        </w:rPr>
        <w:t>إن للباعث دور مهم في تقييد الإرادة في تكوين العقود وكذلك في تحديد آثارها ولذلك قسمنا هذا المطلب إلى فرعين نتناول في أولهما بحث هذا الدور في الفقه الإسلامي أما الثاني فقد خصصناه لبحثه في الفقه القانوني.</w:t>
      </w:r>
    </w:p>
    <w:p w14:paraId="40EF7C42" w14:textId="77777777" w:rsidR="009A1071" w:rsidRPr="008C0FB5" w:rsidRDefault="009A1071" w:rsidP="00BF09F7">
      <w:pPr>
        <w:pStyle w:val="af8"/>
        <w:rPr>
          <w:rtl/>
          <w:lang w:bidi="ar-IQ"/>
        </w:rPr>
      </w:pPr>
      <w:r w:rsidRPr="008C0FB5">
        <w:rPr>
          <w:rtl/>
          <w:lang w:bidi="ar-IQ"/>
        </w:rPr>
        <w:t xml:space="preserve"> </w:t>
      </w:r>
      <w:bookmarkStart w:id="45" w:name="_Toc8643637"/>
      <w:r w:rsidRPr="008C0FB5">
        <w:rPr>
          <w:rtl/>
          <w:lang w:bidi="ar-IQ"/>
        </w:rPr>
        <w:t>الفرع الاول</w:t>
      </w:r>
      <w:r w:rsidR="00FD70E3" w:rsidRPr="008C0FB5">
        <w:rPr>
          <w:rtl/>
          <w:lang w:bidi="ar-IQ"/>
        </w:rPr>
        <w:t xml:space="preserve">: </w:t>
      </w:r>
      <w:r w:rsidR="00BF09F7" w:rsidRPr="008C0FB5">
        <w:rPr>
          <w:rFonts w:hint="cs"/>
          <w:rtl/>
          <w:lang w:bidi="ar-IQ"/>
        </w:rPr>
        <w:t>دور الباعث في تقييد الإرادة في إنشاء العقود في الفقه الإسلامي</w:t>
      </w:r>
      <w:bookmarkEnd w:id="45"/>
    </w:p>
    <w:p w14:paraId="3E7EC77E" w14:textId="77777777" w:rsidR="00BF09F7" w:rsidRPr="008C0FB5" w:rsidRDefault="00BF09F7" w:rsidP="00BF09F7">
      <w:pPr>
        <w:pStyle w:val="48"/>
        <w:rPr>
          <w:rFonts w:hint="cs"/>
          <w:rtl/>
        </w:rPr>
      </w:pPr>
      <w:r w:rsidRPr="008C0FB5">
        <w:rPr>
          <w:rFonts w:hint="cs"/>
          <w:rtl/>
        </w:rPr>
        <w:t xml:space="preserve">إن مبدأ الرضائية في الفقه الإسلامي، هو الأصل الذي يدور عليه إبرام العقود، ومنه تستمد قوتها الملزمة، إلا انه إذا أدى إلى ظلم أو ضرر لم يلتزم العقد وهذا يعتبر قيداً على مبدأ الرضائية. </w:t>
      </w:r>
    </w:p>
    <w:p w14:paraId="20B80C9C" w14:textId="77777777" w:rsidR="00BF09F7" w:rsidRPr="008C0FB5" w:rsidRDefault="00BF09F7" w:rsidP="00BF09F7">
      <w:pPr>
        <w:pStyle w:val="48"/>
        <w:rPr>
          <w:rFonts w:hint="cs"/>
          <w:rtl/>
        </w:rPr>
      </w:pPr>
      <w:r w:rsidRPr="008C0FB5">
        <w:rPr>
          <w:rFonts w:hint="cs"/>
          <w:rtl/>
        </w:rPr>
        <w:t xml:space="preserve">والنتيجة الطبيعية للفقه الذي يعتمد الغايات في تشريعه </w:t>
      </w:r>
      <w:r w:rsidRPr="008C0FB5">
        <w:rPr>
          <w:rFonts w:ascii="Times New Roman" w:hAnsi="Times New Roman" w:cs="Times New Roman" w:hint="cs"/>
          <w:rtl/>
        </w:rPr>
        <w:t>–</w:t>
      </w:r>
      <w:r w:rsidRPr="008C0FB5">
        <w:rPr>
          <w:rFonts w:hint="cs"/>
          <w:rtl/>
        </w:rPr>
        <w:t xml:space="preserve"> إذ الأحكام الشرعية مقيدة بمقاصدها التي هي روحها ومعانيها التي من أجلها شرعت </w:t>
      </w:r>
      <w:r w:rsidRPr="008C0FB5">
        <w:rPr>
          <w:rFonts w:ascii="Times New Roman" w:hAnsi="Times New Roman" w:cs="Times New Roman" w:hint="cs"/>
          <w:rtl/>
        </w:rPr>
        <w:t>–</w:t>
      </w:r>
      <w:r w:rsidRPr="008C0FB5">
        <w:rPr>
          <w:rFonts w:hint="cs"/>
          <w:rtl/>
        </w:rPr>
        <w:t xml:space="preserve"> أن لا يكتفي بمشروعية التصرف في الظاهر دون النظر إلى ما يهدف إليه العاقدين من غاية، قد تتفق مع المصلحة التي من أجلها شرع التصرف، أو تناقضه، ومن هنا كان لزاماً أن يكون قصد المكلف في العمل موافقاً لقصد الله في </w:t>
      </w:r>
      <w:proofErr w:type="gramStart"/>
      <w:r w:rsidRPr="008C0FB5">
        <w:rPr>
          <w:rFonts w:hint="cs"/>
          <w:rtl/>
        </w:rPr>
        <w:t>التشريع</w:t>
      </w:r>
      <w:r w:rsidRPr="008C0FB5">
        <w:rPr>
          <w:rFonts w:cs="Saihat" w:hint="cs"/>
          <w:vertAlign w:val="superscript"/>
          <w:rtl/>
        </w:rPr>
        <w:t>(</w:t>
      </w:r>
      <w:proofErr w:type="gramEnd"/>
      <w:r w:rsidRPr="008C0FB5">
        <w:rPr>
          <w:rFonts w:cs="Saihat"/>
          <w:vertAlign w:val="superscript"/>
          <w:rtl/>
        </w:rPr>
        <w:footnoteReference w:id="64"/>
      </w:r>
      <w:r w:rsidRPr="008C0FB5">
        <w:rPr>
          <w:rFonts w:cs="Saihat" w:hint="cs"/>
          <w:vertAlign w:val="superscript"/>
          <w:rtl/>
        </w:rPr>
        <w:t>)</w:t>
      </w:r>
      <w:r w:rsidRPr="008C0FB5">
        <w:rPr>
          <w:rFonts w:hint="cs"/>
          <w:rtl/>
        </w:rPr>
        <w:t xml:space="preserve">، ويقول ابن قيم الجوزية في ذلك </w:t>
      </w:r>
    </w:p>
    <w:p w14:paraId="4FC87C5C" w14:textId="77777777" w:rsidR="00BF09F7" w:rsidRPr="008C0FB5" w:rsidRDefault="00BF09F7" w:rsidP="00A613BA">
      <w:pPr>
        <w:pStyle w:val="afffffff1"/>
        <w:rPr>
          <w:rFonts w:hint="cs"/>
          <w:rtl/>
        </w:rPr>
      </w:pPr>
      <w:r w:rsidRPr="008C0FB5">
        <w:rPr>
          <w:rFonts w:hint="cs"/>
          <w:rtl/>
        </w:rPr>
        <w:t>القصد روح العقد، ومصححه، ومبطله فاعتبار القصد في العقود، أولى من اعتبار الألفاظ</w:t>
      </w:r>
      <w:proofErr w:type="gramStart"/>
      <w:r w:rsidRPr="008C0FB5">
        <w:rPr>
          <w:rFonts w:hint="cs"/>
          <w:rtl/>
        </w:rPr>
        <w:t>...</w:t>
      </w:r>
      <w:r w:rsidRPr="008C0FB5">
        <w:rPr>
          <w:rFonts w:hint="cs"/>
          <w:szCs w:val="30"/>
          <w:vertAlign w:val="superscript"/>
          <w:rtl/>
        </w:rPr>
        <w:t>(</w:t>
      </w:r>
      <w:proofErr w:type="gramEnd"/>
      <w:r w:rsidRPr="008C0FB5">
        <w:rPr>
          <w:szCs w:val="30"/>
          <w:vertAlign w:val="superscript"/>
          <w:rtl/>
        </w:rPr>
        <w:footnoteReference w:id="65"/>
      </w:r>
      <w:r w:rsidRPr="008C0FB5">
        <w:rPr>
          <w:rFonts w:hint="cs"/>
          <w:szCs w:val="30"/>
          <w:vertAlign w:val="superscript"/>
          <w:rtl/>
        </w:rPr>
        <w:t>)</w:t>
      </w:r>
      <w:r w:rsidRPr="008C0FB5">
        <w:rPr>
          <w:rFonts w:hint="cs"/>
          <w:rtl/>
        </w:rPr>
        <w:t>.</w:t>
      </w:r>
    </w:p>
    <w:p w14:paraId="5957BE65" w14:textId="77777777" w:rsidR="00BF09F7" w:rsidRPr="008C0FB5" w:rsidRDefault="00BF09F7" w:rsidP="003E1E9A">
      <w:pPr>
        <w:pStyle w:val="35"/>
        <w:rPr>
          <w:rFonts w:hint="cs"/>
          <w:rtl/>
        </w:rPr>
      </w:pPr>
      <w:r w:rsidRPr="008C0FB5">
        <w:rPr>
          <w:rFonts w:hint="cs"/>
          <w:rtl/>
        </w:rPr>
        <w:t xml:space="preserve">ويقول الإمام الشاطبي في هذا المعنى أيضاً </w:t>
      </w:r>
    </w:p>
    <w:p w14:paraId="163014E4" w14:textId="77777777" w:rsidR="00A613BA" w:rsidRPr="008C0FB5" w:rsidRDefault="00BF09F7" w:rsidP="00A613BA">
      <w:pPr>
        <w:pStyle w:val="afffffff1"/>
        <w:rPr>
          <w:rFonts w:hint="cs"/>
          <w:rtl/>
        </w:rPr>
      </w:pPr>
      <w:r w:rsidRPr="008C0FB5">
        <w:rPr>
          <w:rFonts w:hint="cs"/>
          <w:rtl/>
        </w:rPr>
        <w:t xml:space="preserve">قصد الشارع من المكلف أن يكون قصده في العمل موافقاً لقصد الله في </w:t>
      </w:r>
      <w:proofErr w:type="gramStart"/>
      <w:r w:rsidRPr="008C0FB5">
        <w:rPr>
          <w:rFonts w:hint="cs"/>
          <w:rtl/>
        </w:rPr>
        <w:t>التشريع</w:t>
      </w:r>
      <w:r w:rsidRPr="008C0FB5">
        <w:rPr>
          <w:rFonts w:hint="cs"/>
          <w:szCs w:val="30"/>
          <w:vertAlign w:val="superscript"/>
          <w:rtl/>
        </w:rPr>
        <w:t>(</w:t>
      </w:r>
      <w:proofErr w:type="gramEnd"/>
      <w:r w:rsidRPr="008C0FB5">
        <w:rPr>
          <w:szCs w:val="30"/>
          <w:vertAlign w:val="superscript"/>
          <w:rtl/>
        </w:rPr>
        <w:footnoteReference w:id="66"/>
      </w:r>
      <w:r w:rsidRPr="008C0FB5">
        <w:rPr>
          <w:rFonts w:hint="cs"/>
          <w:szCs w:val="30"/>
          <w:vertAlign w:val="superscript"/>
          <w:rtl/>
        </w:rPr>
        <w:t>)</w:t>
      </w:r>
    </w:p>
    <w:p w14:paraId="4D9E2D65" w14:textId="77777777" w:rsidR="00BF09F7" w:rsidRPr="008C0FB5" w:rsidRDefault="00BF09F7" w:rsidP="00A613BA">
      <w:pPr>
        <w:pStyle w:val="35"/>
        <w:rPr>
          <w:rFonts w:hint="cs"/>
          <w:rtl/>
        </w:rPr>
      </w:pPr>
      <w:r w:rsidRPr="008C0FB5">
        <w:rPr>
          <w:rFonts w:hint="cs"/>
          <w:rtl/>
        </w:rPr>
        <w:t xml:space="preserve">ويقول أيضاً </w:t>
      </w:r>
    </w:p>
    <w:p w14:paraId="484048DE" w14:textId="77777777" w:rsidR="00BF09F7" w:rsidRPr="008C0FB5" w:rsidRDefault="00BF09F7" w:rsidP="00A613BA">
      <w:pPr>
        <w:pStyle w:val="afffffff1"/>
        <w:rPr>
          <w:rFonts w:hint="cs"/>
          <w:rtl/>
        </w:rPr>
      </w:pPr>
      <w:r w:rsidRPr="008C0FB5">
        <w:rPr>
          <w:rFonts w:hint="cs"/>
          <w:rtl/>
        </w:rPr>
        <w:t xml:space="preserve">كل من ابتغى من تكاليف الشريعة غير ما شرعت له فقد ناقض الشريعة وكلمن ناقضها فعمله في المناقضة باطل فمن ابتغى من التكاليف ما لم يشرع له فعمله </w:t>
      </w:r>
      <w:proofErr w:type="gramStart"/>
      <w:r w:rsidRPr="008C0FB5">
        <w:rPr>
          <w:rFonts w:hint="cs"/>
          <w:rtl/>
        </w:rPr>
        <w:t>باطل</w:t>
      </w:r>
      <w:r w:rsidRPr="008C0FB5">
        <w:rPr>
          <w:rFonts w:hint="cs"/>
          <w:szCs w:val="30"/>
          <w:vertAlign w:val="superscript"/>
          <w:rtl/>
        </w:rPr>
        <w:t>(</w:t>
      </w:r>
      <w:proofErr w:type="gramEnd"/>
      <w:r w:rsidRPr="008C0FB5">
        <w:rPr>
          <w:szCs w:val="30"/>
          <w:vertAlign w:val="superscript"/>
          <w:rtl/>
        </w:rPr>
        <w:footnoteReference w:id="67"/>
      </w:r>
      <w:r w:rsidRPr="008C0FB5">
        <w:rPr>
          <w:rFonts w:hint="cs"/>
          <w:szCs w:val="30"/>
          <w:vertAlign w:val="superscript"/>
          <w:rtl/>
        </w:rPr>
        <w:t>)</w:t>
      </w:r>
      <w:r w:rsidRPr="008C0FB5">
        <w:rPr>
          <w:rFonts w:hint="cs"/>
          <w:rtl/>
        </w:rPr>
        <w:t>.</w:t>
      </w:r>
    </w:p>
    <w:p w14:paraId="653849EF" w14:textId="77777777" w:rsidR="00BF09F7" w:rsidRPr="008C0FB5" w:rsidRDefault="00BF09F7" w:rsidP="003E1E9A">
      <w:pPr>
        <w:pStyle w:val="35"/>
        <w:rPr>
          <w:rFonts w:hint="cs"/>
          <w:rtl/>
        </w:rPr>
      </w:pPr>
      <w:r w:rsidRPr="008C0FB5">
        <w:rPr>
          <w:rFonts w:hint="cs"/>
          <w:rtl/>
        </w:rPr>
        <w:t xml:space="preserve">فتقييد الإرادة إذن </w:t>
      </w:r>
      <w:r w:rsidRPr="008C0FB5">
        <w:rPr>
          <w:rFonts w:ascii="Times New Roman" w:hAnsi="Times New Roman" w:cs="Times New Roman" w:hint="cs"/>
          <w:rtl/>
        </w:rPr>
        <w:t>–</w:t>
      </w:r>
      <w:r w:rsidRPr="008C0FB5">
        <w:rPr>
          <w:rFonts w:hint="cs"/>
          <w:rtl/>
        </w:rPr>
        <w:t xml:space="preserve"> كيلا تناقض المقاصد الشرعية </w:t>
      </w:r>
      <w:r w:rsidRPr="008C0FB5">
        <w:rPr>
          <w:rFonts w:ascii="Times New Roman" w:hAnsi="Times New Roman" w:cs="Times New Roman" w:hint="cs"/>
          <w:rtl/>
        </w:rPr>
        <w:t>–</w:t>
      </w:r>
      <w:r w:rsidRPr="008C0FB5">
        <w:rPr>
          <w:rFonts w:hint="cs"/>
          <w:rtl/>
        </w:rPr>
        <w:t xml:space="preserve"> يكون عن طريق إلقاء فكرة الباعث قيداً عليها ورقيباً وذلك بإبطال التصرف إذا كان الباعث عليه غير مشروع. </w:t>
      </w:r>
    </w:p>
    <w:p w14:paraId="3B793522" w14:textId="77777777" w:rsidR="00BF09F7" w:rsidRPr="008C0FB5" w:rsidRDefault="00BF09F7" w:rsidP="003E1E9A">
      <w:pPr>
        <w:pStyle w:val="35"/>
        <w:rPr>
          <w:rFonts w:hint="cs"/>
          <w:rtl/>
        </w:rPr>
      </w:pPr>
      <w:r w:rsidRPr="008C0FB5">
        <w:rPr>
          <w:rFonts w:hint="cs"/>
          <w:rtl/>
        </w:rPr>
        <w:t>إلا ان مثل هذا القيد، لم يكن ليرد على مبدأ الرضائية في التعاقد والمعاملات في الفقه الغربي، بالنظر لما كان يسوده من روح فردية متطرفة لولا ان المذاهب الاجتماعية جاءت فخففت من وطأة هذا المذهب، وفتحت ثغرات في القوة الملزمة للعقد واستحدثت نظرية الظروف الطارئة وكذلك بدأت تدخل فكرة الباعث فتبطل العقود التي يكون الباعث عليها غير مشروع.</w:t>
      </w:r>
    </w:p>
    <w:p w14:paraId="33F834FD" w14:textId="77777777" w:rsidR="009A1071" w:rsidRPr="008C0FB5" w:rsidRDefault="00BF09F7" w:rsidP="003E1E9A">
      <w:pPr>
        <w:pStyle w:val="35"/>
        <w:rPr>
          <w:rtl/>
        </w:rPr>
      </w:pPr>
      <w:r w:rsidRPr="008C0FB5">
        <w:rPr>
          <w:rFonts w:hint="cs"/>
          <w:rtl/>
        </w:rPr>
        <w:t xml:space="preserve">لكن الفقه الإسلامي بما هو مشبع بالروح الدينية والخلقية لا يستغرب ظهور نظرية الباعث فيه ويمكن استخلاصها من قواعد مؤصلة في الشرع منها قاعدة الأمور </w:t>
      </w:r>
      <w:proofErr w:type="gramStart"/>
      <w:r w:rsidRPr="008C0FB5">
        <w:rPr>
          <w:rFonts w:hint="cs"/>
          <w:rtl/>
        </w:rPr>
        <w:t>بمقاصدها</w:t>
      </w:r>
      <w:r w:rsidRPr="008C0FB5">
        <w:rPr>
          <w:rFonts w:cs="Saihat" w:hint="cs"/>
          <w:vertAlign w:val="superscript"/>
          <w:rtl/>
        </w:rPr>
        <w:t>(</w:t>
      </w:r>
      <w:proofErr w:type="gramEnd"/>
      <w:r w:rsidRPr="008C0FB5">
        <w:rPr>
          <w:rFonts w:cs="Saihat"/>
          <w:vertAlign w:val="superscript"/>
          <w:rtl/>
        </w:rPr>
        <w:footnoteReference w:id="68"/>
      </w:r>
      <w:r w:rsidRPr="008C0FB5">
        <w:rPr>
          <w:rFonts w:cs="Saihat" w:hint="cs"/>
          <w:vertAlign w:val="superscript"/>
          <w:rtl/>
        </w:rPr>
        <w:t>)</w:t>
      </w:r>
      <w:r w:rsidRPr="008C0FB5">
        <w:rPr>
          <w:rFonts w:hint="cs"/>
          <w:rtl/>
        </w:rPr>
        <w:t xml:space="preserve">،  وقاعدة الذرائع التي حكمها الإمام مالك في أكثر أبواب الفقه لأن حقيقتها التوسل بما هو مصلحة إلى مفسدة وقاعدة الحيل وحقيقتها تقديم عمل ظاهر الجواز لإبطال حكم شرعي وتحويله في الظاهر </w:t>
      </w:r>
      <w:r w:rsidRPr="008C0FB5">
        <w:rPr>
          <w:rFonts w:hint="cs"/>
          <w:rtl/>
        </w:rPr>
        <w:lastRenderedPageBreak/>
        <w:t>إلى حكم آخر، فمال العمل فيها حرمته قواعد الشريعة في الواقع</w:t>
      </w:r>
      <w:r w:rsidRPr="008C0FB5">
        <w:rPr>
          <w:rFonts w:cs="Saihat" w:hint="cs"/>
          <w:vertAlign w:val="superscript"/>
          <w:rtl/>
        </w:rPr>
        <w:t>(</w:t>
      </w:r>
      <w:r w:rsidRPr="008C0FB5">
        <w:rPr>
          <w:rFonts w:cs="Saihat"/>
          <w:vertAlign w:val="superscript"/>
          <w:rtl/>
        </w:rPr>
        <w:footnoteReference w:id="69"/>
      </w:r>
      <w:r w:rsidRPr="008C0FB5">
        <w:rPr>
          <w:rFonts w:cs="Saihat" w:hint="cs"/>
          <w:vertAlign w:val="superscript"/>
          <w:rtl/>
        </w:rPr>
        <w:t>)</w:t>
      </w:r>
      <w:r w:rsidR="00E44FCC" w:rsidRPr="008C0FB5">
        <w:rPr>
          <w:rtl/>
        </w:rPr>
        <w:t xml:space="preserve">. </w:t>
      </w:r>
    </w:p>
    <w:p w14:paraId="5415AD5E" w14:textId="77777777" w:rsidR="009A1071" w:rsidRPr="008C0FB5" w:rsidRDefault="009A1071" w:rsidP="00BF09F7">
      <w:pPr>
        <w:pStyle w:val="af8"/>
        <w:rPr>
          <w:rtl/>
          <w:lang w:bidi="ar-IQ"/>
        </w:rPr>
      </w:pPr>
      <w:bookmarkStart w:id="46" w:name="_Toc8643638"/>
      <w:r w:rsidRPr="008C0FB5">
        <w:rPr>
          <w:rtl/>
          <w:lang w:bidi="ar-IQ"/>
        </w:rPr>
        <w:t>الفرع الثاني</w:t>
      </w:r>
      <w:r w:rsidR="00FD70E3" w:rsidRPr="008C0FB5">
        <w:rPr>
          <w:rtl/>
          <w:lang w:bidi="ar-IQ"/>
        </w:rPr>
        <w:t xml:space="preserve">: </w:t>
      </w:r>
      <w:r w:rsidR="00BF09F7" w:rsidRPr="008C0FB5">
        <w:rPr>
          <w:rFonts w:hint="cs"/>
          <w:rtl/>
          <w:lang w:bidi="ar-IQ"/>
        </w:rPr>
        <w:t>دور الباعث في تقييد الإرادة في إنشاء العقود في الفقه القانوني</w:t>
      </w:r>
      <w:bookmarkEnd w:id="46"/>
    </w:p>
    <w:p w14:paraId="5EA8D8B9" w14:textId="77777777" w:rsidR="00BF09F7" w:rsidRPr="008C0FB5" w:rsidRDefault="00BF09F7" w:rsidP="00BF09F7">
      <w:pPr>
        <w:pStyle w:val="48"/>
        <w:rPr>
          <w:rFonts w:hint="cs"/>
          <w:rtl/>
        </w:rPr>
      </w:pPr>
      <w:r w:rsidRPr="008C0FB5">
        <w:rPr>
          <w:rFonts w:hint="cs"/>
          <w:rtl/>
        </w:rPr>
        <w:t xml:space="preserve">إن القوانين التي كانت تأخذ بمبدأ سلطان الإرادة على اطلاقه، بدأت تقلل من دوره، حتى في مجال القانون الخاص، ومن دائرة العقود بالذات، وخاصة بعد ظهور المذاهب </w:t>
      </w:r>
      <w:proofErr w:type="gramStart"/>
      <w:r w:rsidRPr="008C0FB5">
        <w:rPr>
          <w:rFonts w:hint="cs"/>
          <w:rtl/>
        </w:rPr>
        <w:t>الاجتماعية</w:t>
      </w:r>
      <w:r w:rsidRPr="008C0FB5">
        <w:rPr>
          <w:rFonts w:cs="Saihat" w:hint="cs"/>
          <w:vertAlign w:val="superscript"/>
          <w:rtl/>
        </w:rPr>
        <w:t>(</w:t>
      </w:r>
      <w:proofErr w:type="gramEnd"/>
      <w:r w:rsidRPr="008C0FB5">
        <w:rPr>
          <w:rFonts w:cs="Saihat"/>
          <w:vertAlign w:val="superscript"/>
          <w:rtl/>
        </w:rPr>
        <w:footnoteReference w:id="70"/>
      </w:r>
      <w:r w:rsidRPr="008C0FB5">
        <w:rPr>
          <w:rFonts w:cs="Saihat" w:hint="cs"/>
          <w:vertAlign w:val="superscript"/>
          <w:rtl/>
        </w:rPr>
        <w:t>)</w:t>
      </w:r>
      <w:r w:rsidRPr="008C0FB5">
        <w:rPr>
          <w:rFonts w:hint="cs"/>
          <w:rtl/>
        </w:rPr>
        <w:t>.</w:t>
      </w:r>
    </w:p>
    <w:p w14:paraId="0E8F086D" w14:textId="77777777" w:rsidR="00BF09F7" w:rsidRPr="008C0FB5" w:rsidRDefault="00BF09F7" w:rsidP="00BF09F7">
      <w:pPr>
        <w:pStyle w:val="48"/>
        <w:rPr>
          <w:rFonts w:hint="cs"/>
          <w:rtl/>
        </w:rPr>
      </w:pPr>
      <w:r w:rsidRPr="008C0FB5">
        <w:rPr>
          <w:rFonts w:hint="cs"/>
          <w:rtl/>
        </w:rPr>
        <w:t>فالسبب الباعث على التعاقد، تمليه ضرورة المبادلة وإرضاء حاجات النفس، وفي تنظيم العقد، واعتبار الباعث أحد أركانه، عكف المشرع على وضع الشروط والحلول لجعل نظام العقد صالحاً لإرضاء الأطراف، عن طريق وضع النظام الذي يمكّن من مراقبة الخلل في العقد من أجل الفصل في النزاعات، وكذلك بوضع شرط المشروعية لئلا يتفق الأفراد على ما يضر بالمصلحة العامة، كمعيار للنظام العام والآداب، وهذا قيد على حرية الإرادة في إنشاء العقود، وهذا الدور الذي يلعبه الباعث لا يستطيع أحد أن ينكره عليه، ولكن الباعث حين يؤدي وظيفته عن طريق شرط المشروعية المتطلب وجوده فيه، يتخذ صورة بعض عناصر العقد الأخرى ويشتبه فيها، فتكون هذه العناصر مثل نتيجة العقد المتمثلة في الالتزامات ومحل العقد عناصر واقعية مادية ثابتة الوجود</w:t>
      </w:r>
      <w:r w:rsidRPr="008C0FB5">
        <w:rPr>
          <w:rFonts w:cs="Saihat" w:hint="cs"/>
          <w:vertAlign w:val="superscript"/>
          <w:rtl/>
        </w:rPr>
        <w:t>(</w:t>
      </w:r>
      <w:r w:rsidRPr="008C0FB5">
        <w:rPr>
          <w:rFonts w:cs="Saihat"/>
          <w:vertAlign w:val="superscript"/>
          <w:rtl/>
        </w:rPr>
        <w:footnoteReference w:id="71"/>
      </w:r>
      <w:r w:rsidRPr="008C0FB5">
        <w:rPr>
          <w:rFonts w:cs="Saihat" w:hint="cs"/>
          <w:vertAlign w:val="superscript"/>
          <w:rtl/>
        </w:rPr>
        <w:t>)</w:t>
      </w:r>
      <w:r w:rsidRPr="008C0FB5">
        <w:rPr>
          <w:rFonts w:hint="cs"/>
          <w:rtl/>
        </w:rPr>
        <w:t>، بينما الباعث يتخذ شكل الصورة والظل لهذه العناصر في كل الأحوال حسب الشرط المتطلب فيه، جاء هذا التشابه لكونه صورة خيالية لعناصر أخرى موضوعية من خلال تدخل المتعاقد بذاتيته (تمثله الذهني) لموضوعيات العقد قبل تمام العقد، وعليه فالسبب عنصر موجود لكن المنطق لا يتحقق حين تلحق بعض الشروط فيه مثل شرط المشروعية، فكان القول بالاستغناء عن النظرية لإمكانية وضع شروطها في عناصر أخرى في العقد أكثر منطقية في تقبلها للشرط وأسهل معاينة من الباعث</w:t>
      </w:r>
      <w:r w:rsidRPr="008C0FB5">
        <w:rPr>
          <w:rFonts w:cs="Saihat" w:hint="cs"/>
          <w:vertAlign w:val="superscript"/>
          <w:rtl/>
        </w:rPr>
        <w:t>(</w:t>
      </w:r>
      <w:r w:rsidRPr="008C0FB5">
        <w:rPr>
          <w:rFonts w:cs="Saihat"/>
          <w:vertAlign w:val="superscript"/>
          <w:rtl/>
        </w:rPr>
        <w:footnoteReference w:id="72"/>
      </w:r>
      <w:r w:rsidRPr="008C0FB5">
        <w:rPr>
          <w:rFonts w:cs="Saihat" w:hint="cs"/>
          <w:vertAlign w:val="superscript"/>
          <w:rtl/>
        </w:rPr>
        <w:t>)</w:t>
      </w:r>
      <w:r w:rsidRPr="008C0FB5">
        <w:rPr>
          <w:rFonts w:hint="cs"/>
          <w:rtl/>
        </w:rPr>
        <w:t>.</w:t>
      </w:r>
    </w:p>
    <w:p w14:paraId="2043018F" w14:textId="77777777" w:rsidR="00BF09F7" w:rsidRPr="008C0FB5" w:rsidRDefault="00BF09F7" w:rsidP="00BF09F7">
      <w:pPr>
        <w:pStyle w:val="48"/>
        <w:rPr>
          <w:rFonts w:hint="cs"/>
          <w:rtl/>
        </w:rPr>
      </w:pPr>
      <w:r w:rsidRPr="008C0FB5">
        <w:rPr>
          <w:rFonts w:hint="cs"/>
          <w:rtl/>
        </w:rPr>
        <w:t>لكن الباعث ثابت الوجود وأساس العقد تماماً قبل إتمامه، ولا يمكن إغفال وظيفته المساعدة في العقد، وإن لم ينص عليه في القانون فالباعث الدافع للمتعاقدين على إتمام العقد هو معيار الغلط الجوهري في حالة تطبيق نظرية الغلط ويساعد على تحديد الباعث الموهوم، وكذلك يساعد على تحديد النية المشتركة في حالة تفسير العقد عند الفصل في نزاع حول نتيجة العقد.</w:t>
      </w:r>
    </w:p>
    <w:p w14:paraId="459F9B1F" w14:textId="77777777" w:rsidR="00BF09F7" w:rsidRPr="008C0FB5" w:rsidRDefault="00BF09F7" w:rsidP="003E1E9A">
      <w:pPr>
        <w:pStyle w:val="35"/>
        <w:rPr>
          <w:rFonts w:hint="cs"/>
          <w:rtl/>
        </w:rPr>
      </w:pPr>
      <w:r w:rsidRPr="008C0FB5">
        <w:rPr>
          <w:rFonts w:hint="cs"/>
          <w:rtl/>
        </w:rPr>
        <w:t xml:space="preserve">ولم يقف الامر عند هذا الحد بل ان أغلب القوانين بدأت تدخل في تشريعاتها فكرة النظام العام والآداب، وبدا كل من الفقه والقضاء يدخل فكرة الباعث فيبطل العقود التي يكون الباعث عليها غير مشروع، إلا انه كثيراً ما يقصر تطبيق هذه الفكرة على التبرعات بينما يحد من نطاقها في مجال العقود </w:t>
      </w:r>
      <w:proofErr w:type="gramStart"/>
      <w:r w:rsidRPr="008C0FB5">
        <w:rPr>
          <w:rFonts w:hint="cs"/>
          <w:rtl/>
        </w:rPr>
        <w:t>الأخرى</w:t>
      </w:r>
      <w:r w:rsidRPr="008C0FB5">
        <w:rPr>
          <w:rFonts w:cs="Saihat" w:hint="cs"/>
          <w:vertAlign w:val="superscript"/>
          <w:rtl/>
        </w:rPr>
        <w:t>(</w:t>
      </w:r>
      <w:proofErr w:type="gramEnd"/>
      <w:r w:rsidRPr="008C0FB5">
        <w:rPr>
          <w:rFonts w:cs="Saihat"/>
          <w:vertAlign w:val="superscript"/>
          <w:rtl/>
        </w:rPr>
        <w:footnoteReference w:id="73"/>
      </w:r>
      <w:r w:rsidRPr="008C0FB5">
        <w:rPr>
          <w:rFonts w:cs="Saihat" w:hint="cs"/>
          <w:vertAlign w:val="superscript"/>
          <w:rtl/>
        </w:rPr>
        <w:t>)</w:t>
      </w:r>
      <w:r w:rsidRPr="008C0FB5">
        <w:rPr>
          <w:rFonts w:hint="cs"/>
          <w:rtl/>
        </w:rPr>
        <w:t xml:space="preserve">، فالباعث إذن هو قيد على سلطان الإرادة وهو وسيلة يستعملها </w:t>
      </w:r>
      <w:r w:rsidRPr="008C0FB5">
        <w:rPr>
          <w:rFonts w:hint="cs"/>
          <w:rtl/>
        </w:rPr>
        <w:lastRenderedPageBreak/>
        <w:t>القاضي لحماية مقاصد المشرع الأساسية، أي حماية المجتمع من الإرادة الفردية المتعسفة</w:t>
      </w:r>
      <w:r w:rsidRPr="008C0FB5">
        <w:rPr>
          <w:rFonts w:cs="Saihat" w:hint="cs"/>
          <w:vertAlign w:val="superscript"/>
          <w:rtl/>
        </w:rPr>
        <w:t>(</w:t>
      </w:r>
      <w:r w:rsidRPr="008C0FB5">
        <w:rPr>
          <w:rFonts w:cs="Saihat"/>
          <w:vertAlign w:val="superscript"/>
          <w:rtl/>
        </w:rPr>
        <w:footnoteReference w:id="74"/>
      </w:r>
      <w:r w:rsidRPr="008C0FB5">
        <w:rPr>
          <w:rFonts w:cs="Saihat" w:hint="cs"/>
          <w:vertAlign w:val="superscript"/>
          <w:rtl/>
        </w:rPr>
        <w:t>)</w:t>
      </w:r>
      <w:r w:rsidRPr="008C0FB5">
        <w:rPr>
          <w:rFonts w:hint="cs"/>
          <w:rtl/>
        </w:rPr>
        <w:t xml:space="preserve">. </w:t>
      </w:r>
    </w:p>
    <w:p w14:paraId="170EDBBE" w14:textId="77777777" w:rsidR="00BF09F7" w:rsidRPr="008C0FB5" w:rsidRDefault="00E634C5" w:rsidP="00C253D0">
      <w:pPr>
        <w:pStyle w:val="a0"/>
        <w:rPr>
          <w:rFonts w:hint="cs"/>
          <w:rtl/>
        </w:rPr>
      </w:pPr>
      <w:r w:rsidRPr="008C0FB5">
        <w:rPr>
          <w:rtl/>
        </w:rPr>
        <w:br w:type="page"/>
      </w:r>
      <w:bookmarkStart w:id="47" w:name="_Toc8643639"/>
      <w:r w:rsidR="00BF09F7" w:rsidRPr="008C0FB5">
        <w:rPr>
          <w:rFonts w:hint="cs"/>
          <w:rtl/>
        </w:rPr>
        <w:lastRenderedPageBreak/>
        <w:t>المبحث الرابع: نظرية الإرادة الظاهرة ونظرية الإرادة الباطنة وصلتهما بنظرية الباعث</w:t>
      </w:r>
      <w:bookmarkEnd w:id="47"/>
    </w:p>
    <w:p w14:paraId="3010B595" w14:textId="77777777" w:rsidR="00BF09F7" w:rsidRPr="008C0FB5" w:rsidRDefault="00BF09F7" w:rsidP="00C253D0">
      <w:pPr>
        <w:pStyle w:val="48"/>
        <w:rPr>
          <w:rFonts w:hint="cs"/>
          <w:rtl/>
        </w:rPr>
      </w:pPr>
      <w:r w:rsidRPr="008C0FB5">
        <w:rPr>
          <w:rFonts w:hint="cs"/>
          <w:rtl/>
        </w:rPr>
        <w:t xml:space="preserve">لقد حلل </w:t>
      </w:r>
      <w:proofErr w:type="gramStart"/>
      <w:r w:rsidRPr="008C0FB5">
        <w:rPr>
          <w:rFonts w:hint="cs"/>
          <w:rtl/>
        </w:rPr>
        <w:t>الفقه</w:t>
      </w:r>
      <w:r w:rsidRPr="008C0FB5">
        <w:rPr>
          <w:rFonts w:cs="Saihat" w:hint="cs"/>
          <w:vertAlign w:val="superscript"/>
          <w:rtl/>
        </w:rPr>
        <w:t>(</w:t>
      </w:r>
      <w:proofErr w:type="gramEnd"/>
      <w:r w:rsidRPr="008C0FB5">
        <w:rPr>
          <w:rStyle w:val="af0"/>
          <w:rFonts w:cs="Saihat"/>
          <w:sz w:val="30"/>
          <w:rtl/>
        </w:rPr>
        <w:footnoteReference w:id="75"/>
      </w:r>
      <w:r w:rsidRPr="008C0FB5">
        <w:rPr>
          <w:rFonts w:cs="Saihat" w:hint="cs"/>
          <w:vertAlign w:val="superscript"/>
          <w:rtl/>
        </w:rPr>
        <w:t>)</w:t>
      </w:r>
      <w:r w:rsidRPr="008C0FB5">
        <w:rPr>
          <w:rFonts w:hint="cs"/>
          <w:rtl/>
        </w:rPr>
        <w:t xml:space="preserve"> التصرف الإرادي إلى عنصرين:</w:t>
      </w:r>
    </w:p>
    <w:p w14:paraId="0C12D964" w14:textId="77777777" w:rsidR="00BF09F7" w:rsidRPr="008C0FB5" w:rsidRDefault="00BF09F7" w:rsidP="00C253D0">
      <w:pPr>
        <w:pStyle w:val="48"/>
        <w:numPr>
          <w:ilvl w:val="0"/>
          <w:numId w:val="45"/>
        </w:numPr>
        <w:rPr>
          <w:rFonts w:hint="cs"/>
          <w:rtl/>
        </w:rPr>
      </w:pPr>
      <w:r w:rsidRPr="008C0FB5">
        <w:rPr>
          <w:rFonts w:hint="cs"/>
          <w:rtl/>
        </w:rPr>
        <w:t>عنصر داخلي وقد عرف بالإرادة الداخلية أو الإرادة الباطنة.</w:t>
      </w:r>
    </w:p>
    <w:p w14:paraId="4A2A9703" w14:textId="77777777" w:rsidR="00BF09F7" w:rsidRPr="008C0FB5" w:rsidRDefault="00BF09F7" w:rsidP="00C253D0">
      <w:pPr>
        <w:pStyle w:val="48"/>
        <w:numPr>
          <w:ilvl w:val="0"/>
          <w:numId w:val="45"/>
        </w:numPr>
        <w:rPr>
          <w:rFonts w:hint="cs"/>
          <w:rtl/>
        </w:rPr>
      </w:pPr>
      <w:r w:rsidRPr="008C0FB5">
        <w:rPr>
          <w:rFonts w:hint="cs"/>
          <w:rtl/>
        </w:rPr>
        <w:t xml:space="preserve">عنصر خارجي مهمته إعلان هذه الإرادة الداخلية وقد عرف بإعلان الإرادة ويتمثل العنصر الداخلي في تحريك الإرادة نحو تحقيق هدف معين. هذا التحريك يبقى في الشخص كجزء خفي فيه حتى يظهر بالإعلان الذي يكشف (لا لذات </w:t>
      </w:r>
      <w:proofErr w:type="gramStart"/>
      <w:r w:rsidRPr="008C0FB5">
        <w:rPr>
          <w:rFonts w:hint="cs"/>
          <w:rtl/>
        </w:rPr>
        <w:t>الشخص</w:t>
      </w:r>
      <w:proofErr w:type="gramEnd"/>
      <w:r w:rsidRPr="008C0FB5">
        <w:rPr>
          <w:rFonts w:hint="cs"/>
          <w:rtl/>
        </w:rPr>
        <w:t xml:space="preserve"> بل للغير) ما كان يجن في نفسه من اتجاه إرادته إلى إحداث أثر قانوني معين.</w:t>
      </w:r>
    </w:p>
    <w:p w14:paraId="5EF02514" w14:textId="77777777" w:rsidR="00BF09F7" w:rsidRPr="008C0FB5" w:rsidRDefault="00BF09F7" w:rsidP="00C35031">
      <w:pPr>
        <w:pStyle w:val="35"/>
        <w:rPr>
          <w:rFonts w:hint="cs"/>
          <w:rtl/>
        </w:rPr>
      </w:pPr>
      <w:r w:rsidRPr="008C0FB5">
        <w:rPr>
          <w:rFonts w:hint="cs"/>
          <w:rtl/>
        </w:rPr>
        <w:t>وقد ثار جدل كبير في الفقه الإسلامي فيما يخص تحديد الباعث، هل يجب الوقوف عند حدود التعبير عن الإرادة أم انه يعتد بالإرادة الحقيقية التي تدفع إلى التعاقد وبذلك انقسم الفقه الإسلامي إلى ثلاث فئات، الفئة الأولى تقف عند حدود التعبير عن الإرادة، أما الفئة الثانية فانها لا تعتد إلا بالإرادة الحقيقية وما التعبير إلا وسيلة لإظهار الإرادة الحقيقية، أما الفئة الثالثة فقد خلطت بين الاتجاهين.</w:t>
      </w:r>
    </w:p>
    <w:p w14:paraId="3DCB6C0C" w14:textId="77777777" w:rsidR="00BF09F7" w:rsidRPr="008C0FB5" w:rsidRDefault="00BF09F7" w:rsidP="00C35031">
      <w:pPr>
        <w:pStyle w:val="35"/>
        <w:rPr>
          <w:rFonts w:hint="cs"/>
          <w:rtl/>
        </w:rPr>
      </w:pPr>
      <w:r w:rsidRPr="008C0FB5">
        <w:rPr>
          <w:rFonts w:hint="cs"/>
          <w:rtl/>
        </w:rPr>
        <w:t>ولم يخرج الفقه القانوني عن الجدل الذي ثار في الفقه الإسلامي فقد ظهرت النظرية الألمانية في النصف الثاني من القرن التاسع عشر والتي لا تعتد إلا بالإرادة الظاهرة، هذا بخلاف النظرية اللاتينية التي تعتد بالإرادة الباطنة بالإضافة إلى موقف بعض القوانين التي خلطت بين النظريتين.</w:t>
      </w:r>
    </w:p>
    <w:p w14:paraId="3FFCE4E5" w14:textId="77777777" w:rsidR="00BF09F7" w:rsidRPr="008C0FB5" w:rsidRDefault="00BF09F7" w:rsidP="00C35031">
      <w:pPr>
        <w:pStyle w:val="35"/>
        <w:rPr>
          <w:rFonts w:hint="cs"/>
          <w:rtl/>
        </w:rPr>
      </w:pPr>
      <w:r w:rsidRPr="008C0FB5">
        <w:rPr>
          <w:rFonts w:hint="cs"/>
          <w:rtl/>
        </w:rPr>
        <w:t>ولغرض الإحاطة بالموضوع فقد ارتأينا تقسيم هذا المبحث إلى مطالب ثلاثة، نتناول فيها هذه الفئات الثلاث تباعاً.</w:t>
      </w:r>
    </w:p>
    <w:p w14:paraId="63E60B8B" w14:textId="77777777" w:rsidR="00BF09F7" w:rsidRPr="008C0FB5" w:rsidRDefault="00E634C5" w:rsidP="00C253D0">
      <w:pPr>
        <w:pStyle w:val="a1"/>
        <w:rPr>
          <w:rFonts w:hint="cs"/>
          <w:rtl/>
        </w:rPr>
      </w:pPr>
      <w:r w:rsidRPr="008C0FB5">
        <w:rPr>
          <w:rtl/>
        </w:rPr>
        <w:br w:type="page"/>
      </w:r>
      <w:bookmarkStart w:id="48" w:name="_Toc8643640"/>
      <w:r w:rsidR="00BF09F7" w:rsidRPr="008C0FB5">
        <w:rPr>
          <w:rFonts w:hint="cs"/>
          <w:rtl/>
        </w:rPr>
        <w:lastRenderedPageBreak/>
        <w:t>المطلب الأول: اتجاه الاعتداد بالتعبير عن الإرادة (الإرادة الظاهرة)</w:t>
      </w:r>
      <w:bookmarkEnd w:id="48"/>
    </w:p>
    <w:p w14:paraId="0B55B1FC" w14:textId="77777777" w:rsidR="00BF09F7" w:rsidRPr="008C0FB5" w:rsidRDefault="00BF09F7" w:rsidP="00C253D0">
      <w:pPr>
        <w:pStyle w:val="48"/>
        <w:rPr>
          <w:rFonts w:hint="cs"/>
          <w:rtl/>
        </w:rPr>
      </w:pPr>
      <w:r w:rsidRPr="008C0FB5">
        <w:rPr>
          <w:rFonts w:hint="cs"/>
          <w:rtl/>
        </w:rPr>
        <w:t>ومن أهم أنصار هذا الاتجاه هو المذهب الشافعي</w:t>
      </w:r>
      <w:r w:rsidRPr="008C0FB5">
        <w:rPr>
          <w:rFonts w:cs="Saihat" w:hint="cs"/>
          <w:vertAlign w:val="superscript"/>
          <w:rtl/>
        </w:rPr>
        <w:t>(</w:t>
      </w:r>
      <w:r w:rsidRPr="008C0FB5">
        <w:rPr>
          <w:rStyle w:val="af0"/>
          <w:rFonts w:cs="Saihat"/>
          <w:sz w:val="30"/>
          <w:rtl/>
        </w:rPr>
        <w:footnoteReference w:id="76"/>
      </w:r>
      <w:r w:rsidRPr="008C0FB5">
        <w:rPr>
          <w:rFonts w:cs="Saihat" w:hint="cs"/>
          <w:vertAlign w:val="superscript"/>
          <w:rtl/>
        </w:rPr>
        <w:t>)</w:t>
      </w:r>
      <w:r w:rsidRPr="008C0FB5">
        <w:rPr>
          <w:rFonts w:hint="cs"/>
          <w:rtl/>
        </w:rPr>
        <w:t xml:space="preserve"> إذ غلب عليه تغليب جانب الاستقرار في المعاملات، وعدم التأثير على ذلك بالأمور الخفية، والنوايا الكامنة في الصدور، مادامت لم تظهر في صيغة العقد، واستناداً إلى ذلك لا يعتد في هذا المذهب بالإرادة الحقيقية الكامنة في النفس ما لم تتضمنها صيغة العقد، أو التعبير عن الإرادة، ويجب الوقوف عند الإرادة الظاهرة ولا يجوز تجاوزها إلى البحث عن النوايا والقصود الخفية الكامنة في النفس، فلا يجوز أن يحاسب الإنسان عنها، ذلك لأن الإرادة التي يمكن لها أن تنتج أثراً هي الإرادة في مظهرها الاجتماعي، لا في حكمتها وهي تختلج في الضمير، ولعل أبرز النصوص دلالة على موقف المذهب الشافعي هذا والذي يعتبر الحجر الأساس في دراسة هذا الموضوع والسبر في أغواره هو قول الإمام الشافعي: </w:t>
      </w:r>
    </w:p>
    <w:p w14:paraId="7199C5E5" w14:textId="77777777" w:rsidR="00BF09F7" w:rsidRPr="008C0FB5" w:rsidRDefault="00BF09F7" w:rsidP="00A613BA">
      <w:pPr>
        <w:pStyle w:val="afffffff1"/>
        <w:rPr>
          <w:rFonts w:hint="cs"/>
          <w:rtl/>
        </w:rPr>
      </w:pPr>
      <w:r w:rsidRPr="008C0FB5">
        <w:rPr>
          <w:rFonts w:hint="cs"/>
          <w:rtl/>
        </w:rPr>
        <w:t xml:space="preserve">أصل ما أذهب إليه ان كل عقد كان صحيحاً في الظاهر لم أبطله بتهمة ولا بعادة بين المتبايعين وأجزته بصحة الظاهر، وأكره لهما النية إذا كانت لو ظهرت تفسد </w:t>
      </w:r>
      <w:proofErr w:type="gramStart"/>
      <w:r w:rsidRPr="008C0FB5">
        <w:rPr>
          <w:rFonts w:hint="cs"/>
          <w:rtl/>
        </w:rPr>
        <w:t>البيع</w:t>
      </w:r>
      <w:r w:rsidRPr="008C0FB5">
        <w:rPr>
          <w:rFonts w:hint="cs"/>
          <w:szCs w:val="30"/>
          <w:vertAlign w:val="superscript"/>
          <w:rtl/>
        </w:rPr>
        <w:t>(</w:t>
      </w:r>
      <w:proofErr w:type="gramEnd"/>
      <w:r w:rsidRPr="008C0FB5">
        <w:rPr>
          <w:rStyle w:val="af0"/>
          <w:sz w:val="30"/>
          <w:szCs w:val="30"/>
          <w:rtl/>
        </w:rPr>
        <w:footnoteReference w:id="77"/>
      </w:r>
      <w:r w:rsidRPr="008C0FB5">
        <w:rPr>
          <w:rFonts w:hint="cs"/>
          <w:szCs w:val="30"/>
          <w:vertAlign w:val="superscript"/>
          <w:rtl/>
        </w:rPr>
        <w:t>)</w:t>
      </w:r>
      <w:r w:rsidRPr="008C0FB5">
        <w:rPr>
          <w:rFonts w:hint="cs"/>
          <w:rtl/>
        </w:rPr>
        <w:t>.</w:t>
      </w:r>
    </w:p>
    <w:p w14:paraId="3349C89F" w14:textId="77777777" w:rsidR="00BF09F7" w:rsidRPr="008C0FB5" w:rsidRDefault="00BF09F7" w:rsidP="00C35031">
      <w:pPr>
        <w:pStyle w:val="35"/>
        <w:rPr>
          <w:rFonts w:hint="cs"/>
          <w:rtl/>
        </w:rPr>
      </w:pPr>
      <w:r w:rsidRPr="008C0FB5">
        <w:rPr>
          <w:rFonts w:hint="cs"/>
          <w:rtl/>
        </w:rPr>
        <w:t xml:space="preserve">ومما سبق نستنتج ان المذهب الشافعي </w:t>
      </w:r>
      <w:r w:rsidRPr="008C0FB5">
        <w:rPr>
          <w:rFonts w:ascii="Times New Roman" w:hAnsi="Times New Roman" w:cs="Times New Roman" w:hint="cs"/>
          <w:rtl/>
        </w:rPr>
        <w:t>–</w:t>
      </w:r>
      <w:r w:rsidRPr="008C0FB5">
        <w:rPr>
          <w:rFonts w:hint="cs"/>
          <w:rtl/>
        </w:rPr>
        <w:t xml:space="preserve"> وتبعه في ذلك القانون الألماني </w:t>
      </w:r>
      <w:r w:rsidRPr="008C0FB5">
        <w:rPr>
          <w:rFonts w:ascii="Times New Roman" w:hAnsi="Times New Roman" w:cs="Times New Roman" w:hint="cs"/>
          <w:rtl/>
        </w:rPr>
        <w:t>–</w:t>
      </w:r>
      <w:r w:rsidRPr="008C0FB5">
        <w:rPr>
          <w:rFonts w:hint="cs"/>
          <w:rtl/>
        </w:rPr>
        <w:t xml:space="preserve"> لا يعتد بالباعث الدافع إلا إذا كان منصوصاً عليه في العقد، ذلك لأنه يقف عند التعبير المادي، ولا يتجاوزه إلى الإرادة ذاتها وهي تختلج في الضمير، ومن باب أولى لا يتقصى الإرادة بما صدرت عنه من دوافع نفسية وبواعث ذاتية، فالباعث على التعاقد لم يكن جزءاً من التعبير عن الإرادة ولذلك فلا يعتد به</w:t>
      </w:r>
      <w:r w:rsidRPr="008C0FB5">
        <w:rPr>
          <w:rFonts w:cs="Saihat" w:hint="cs"/>
          <w:vertAlign w:val="superscript"/>
          <w:rtl/>
        </w:rPr>
        <w:t>(</w:t>
      </w:r>
      <w:r w:rsidRPr="008C0FB5">
        <w:rPr>
          <w:rStyle w:val="af0"/>
          <w:rFonts w:cs="Saihat"/>
          <w:sz w:val="30"/>
          <w:rtl/>
        </w:rPr>
        <w:footnoteReference w:id="78"/>
      </w:r>
      <w:r w:rsidRPr="008C0FB5">
        <w:rPr>
          <w:rFonts w:cs="Saihat" w:hint="cs"/>
          <w:vertAlign w:val="superscript"/>
          <w:rtl/>
        </w:rPr>
        <w:t>)</w:t>
      </w:r>
      <w:r w:rsidRPr="008C0FB5">
        <w:rPr>
          <w:rFonts w:hint="cs"/>
          <w:rtl/>
        </w:rPr>
        <w:t>، ومن ثم فانه لا يعرف نظرية للباعث تضارع النظرية الذاتية، في مذاهب المالكية والحنابلة والجعفرية، فالإرادة وطرق الكشف عنها والعيوب التي تشوبها والبواعث التي تتبعها، كل ذلك ينحصر في شيء واحد هو التعبير عن الإرادة، ففي هذا التعبير لا في غيره يجب أن نتلمس كل شيء.</w:t>
      </w:r>
    </w:p>
    <w:p w14:paraId="30A23AED" w14:textId="77777777" w:rsidR="00BF09F7" w:rsidRPr="008C0FB5" w:rsidRDefault="00E634C5" w:rsidP="00C253D0">
      <w:pPr>
        <w:pStyle w:val="a1"/>
        <w:rPr>
          <w:rFonts w:hint="cs"/>
          <w:rtl/>
        </w:rPr>
      </w:pPr>
      <w:r w:rsidRPr="008C0FB5">
        <w:rPr>
          <w:rtl/>
        </w:rPr>
        <w:br w:type="page"/>
      </w:r>
      <w:bookmarkStart w:id="49" w:name="_Toc8643641"/>
      <w:r w:rsidR="00BF09F7" w:rsidRPr="008C0FB5">
        <w:rPr>
          <w:rFonts w:hint="cs"/>
          <w:rtl/>
        </w:rPr>
        <w:lastRenderedPageBreak/>
        <w:t>المطلب الثاني: اتجاه الاعتداد بالإرادة الباطنة</w:t>
      </w:r>
      <w:bookmarkEnd w:id="49"/>
    </w:p>
    <w:p w14:paraId="5ABB74A8" w14:textId="77777777" w:rsidR="00BF09F7" w:rsidRPr="008C0FB5" w:rsidRDefault="00BF09F7" w:rsidP="00C253D0">
      <w:pPr>
        <w:pStyle w:val="48"/>
        <w:rPr>
          <w:rFonts w:hint="cs"/>
          <w:rtl/>
        </w:rPr>
      </w:pPr>
      <w:r w:rsidRPr="008C0FB5">
        <w:rPr>
          <w:rFonts w:hint="cs"/>
          <w:rtl/>
        </w:rPr>
        <w:t>ومن أهم أنصار هذا الاتجاه هم المالكية والحنابلة فقد صرح فقهاء هذه المذاهب على الاعتداد بالإرادة الباطنة ولو لم تكن مطابقة للتعبير عنها أي لم تكن الصيغة مشتملة عليها ما دامت هذه الإرادة معلومة من الطرف الآخر أو كانت القرائن وظروف الحال تدل عليها.</w:t>
      </w:r>
    </w:p>
    <w:p w14:paraId="647733B6" w14:textId="77777777" w:rsidR="00BF09F7" w:rsidRPr="008C0FB5" w:rsidRDefault="00BF09F7" w:rsidP="00C35031">
      <w:pPr>
        <w:pStyle w:val="35"/>
        <w:rPr>
          <w:rFonts w:hint="cs"/>
          <w:rtl/>
        </w:rPr>
      </w:pPr>
      <w:r w:rsidRPr="008C0FB5">
        <w:rPr>
          <w:rFonts w:hint="cs"/>
          <w:rtl/>
        </w:rPr>
        <w:t xml:space="preserve">ولعل الإمام ابن القيم </w:t>
      </w:r>
      <w:r w:rsidRPr="008C0FB5">
        <w:rPr>
          <w:rFonts w:ascii="Times New Roman" w:hAnsi="Times New Roman" w:cs="Times New Roman" w:hint="cs"/>
          <w:rtl/>
        </w:rPr>
        <w:t>–</w:t>
      </w:r>
      <w:r w:rsidRPr="008C0FB5">
        <w:rPr>
          <w:rFonts w:hint="cs"/>
          <w:rtl/>
        </w:rPr>
        <w:t xml:space="preserve"> من الحنابلة </w:t>
      </w:r>
      <w:r w:rsidRPr="008C0FB5">
        <w:rPr>
          <w:rFonts w:ascii="Times New Roman" w:hAnsi="Times New Roman" w:cs="Times New Roman" w:hint="cs"/>
          <w:rtl/>
        </w:rPr>
        <w:t>–</w:t>
      </w:r>
      <w:r w:rsidRPr="008C0FB5">
        <w:rPr>
          <w:rFonts w:hint="cs"/>
          <w:rtl/>
        </w:rPr>
        <w:t xml:space="preserve"> هو أبرز من تصدى لتأكيد دور </w:t>
      </w:r>
      <w:proofErr w:type="gramStart"/>
      <w:r w:rsidRPr="008C0FB5">
        <w:rPr>
          <w:rFonts w:hint="cs"/>
          <w:rtl/>
        </w:rPr>
        <w:t>القصود</w:t>
      </w:r>
      <w:proofErr w:type="gramEnd"/>
      <w:r w:rsidRPr="008C0FB5">
        <w:rPr>
          <w:rFonts w:hint="cs"/>
          <w:rtl/>
        </w:rPr>
        <w:t xml:space="preserve"> في العقود مبيناً الحجج والبراهين الداعمة لرأيه مفنداً كل حجة استند إليها المخالفون فيقول في كتابه أعلام الموقعين </w:t>
      </w:r>
    </w:p>
    <w:p w14:paraId="4C07AF6C" w14:textId="77777777" w:rsidR="00BF09F7" w:rsidRPr="008C0FB5" w:rsidRDefault="00BF09F7" w:rsidP="00A613BA">
      <w:pPr>
        <w:pStyle w:val="afffffff1"/>
        <w:rPr>
          <w:rFonts w:hint="cs"/>
          <w:rtl/>
        </w:rPr>
      </w:pPr>
      <w:r w:rsidRPr="008C0FB5">
        <w:rPr>
          <w:rFonts w:hint="cs"/>
          <w:rtl/>
        </w:rPr>
        <w:t xml:space="preserve">هل الاعتبار بظواهر الألفاظ والعقود وإن ظهرت المقاصد والنيات بخلافها؟ أم للقصود والنيات تأثير يوجب الالتفات إليها ومراعاة جانبها؟ وقد تظاهرت أدلة الشرع وقواعده على أن القصود في العقود معتبرة وإنها تؤثر في صحة العقد وفساده، وفي حله وحرمته، بل أبلغ من ذلك وهي انها تؤثر في الفعل الذي ليس بعقد، تحليلاً وتحريماً فيصير حلالاً تارة، وحراماً تارة باختلاف النية </w:t>
      </w:r>
      <w:proofErr w:type="gramStart"/>
      <w:r w:rsidRPr="008C0FB5">
        <w:rPr>
          <w:rFonts w:hint="cs"/>
          <w:rtl/>
        </w:rPr>
        <w:t>والقصد</w:t>
      </w:r>
      <w:r w:rsidRPr="008C0FB5">
        <w:rPr>
          <w:rFonts w:hint="cs"/>
          <w:szCs w:val="30"/>
          <w:vertAlign w:val="superscript"/>
          <w:rtl/>
        </w:rPr>
        <w:t>(</w:t>
      </w:r>
      <w:proofErr w:type="gramEnd"/>
      <w:r w:rsidRPr="008C0FB5">
        <w:rPr>
          <w:rStyle w:val="af0"/>
          <w:sz w:val="30"/>
          <w:szCs w:val="30"/>
          <w:rtl/>
        </w:rPr>
        <w:footnoteReference w:id="79"/>
      </w:r>
      <w:r w:rsidRPr="008C0FB5">
        <w:rPr>
          <w:rFonts w:hint="cs"/>
          <w:szCs w:val="30"/>
          <w:vertAlign w:val="superscript"/>
          <w:rtl/>
        </w:rPr>
        <w:t>)</w:t>
      </w:r>
      <w:r w:rsidRPr="008C0FB5">
        <w:rPr>
          <w:rFonts w:hint="cs"/>
          <w:rtl/>
        </w:rPr>
        <w:t>.</w:t>
      </w:r>
    </w:p>
    <w:p w14:paraId="5DE1A80F" w14:textId="77777777" w:rsidR="00BF09F7" w:rsidRPr="008C0FB5" w:rsidRDefault="00BF09F7" w:rsidP="00C35031">
      <w:pPr>
        <w:pStyle w:val="35"/>
        <w:rPr>
          <w:rFonts w:hint="cs"/>
          <w:rtl/>
        </w:rPr>
      </w:pPr>
      <w:r w:rsidRPr="008C0FB5">
        <w:rPr>
          <w:rFonts w:hint="cs"/>
          <w:rtl/>
        </w:rPr>
        <w:t>و</w:t>
      </w:r>
    </w:p>
    <w:p w14:paraId="34F941E2" w14:textId="77777777" w:rsidR="00BF09F7" w:rsidRPr="008C0FB5" w:rsidRDefault="00BF09F7" w:rsidP="00A613BA">
      <w:pPr>
        <w:pStyle w:val="afffffff1"/>
        <w:rPr>
          <w:rFonts w:hint="cs"/>
          <w:rtl/>
        </w:rPr>
      </w:pPr>
      <w:r w:rsidRPr="008C0FB5">
        <w:rPr>
          <w:rFonts w:hint="cs"/>
          <w:rtl/>
        </w:rPr>
        <w:t xml:space="preserve">إن المتعاقدين وإن أظهر خلاف ما اتفقا عليه في الباطن، فالعبرة لما أضمراه واتفقا عليه وقصداه بالعقد... فاعتبار القصود في العقود أولى من اعتبار الألفاظ، فان الألفاظ مقصودة لغيرها، ومقاصد العقود هي التي تراد لأجلها فإذا ألغيت واعتبرت الألفاظ التي لا تراد لنفسها كان هذا إلغاء لما يجب اعتباره واعتبار لما قد يسوغ </w:t>
      </w:r>
      <w:proofErr w:type="gramStart"/>
      <w:r w:rsidRPr="008C0FB5">
        <w:rPr>
          <w:rFonts w:hint="cs"/>
          <w:rtl/>
        </w:rPr>
        <w:t>إلغاؤه</w:t>
      </w:r>
      <w:r w:rsidRPr="008C0FB5">
        <w:rPr>
          <w:rFonts w:hint="cs"/>
          <w:szCs w:val="30"/>
          <w:vertAlign w:val="superscript"/>
          <w:rtl/>
        </w:rPr>
        <w:t>(</w:t>
      </w:r>
      <w:proofErr w:type="gramEnd"/>
      <w:r w:rsidRPr="008C0FB5">
        <w:rPr>
          <w:rStyle w:val="af0"/>
          <w:sz w:val="30"/>
          <w:szCs w:val="30"/>
          <w:rtl/>
        </w:rPr>
        <w:footnoteReference w:id="80"/>
      </w:r>
      <w:r w:rsidRPr="008C0FB5">
        <w:rPr>
          <w:rFonts w:hint="cs"/>
          <w:szCs w:val="30"/>
          <w:vertAlign w:val="superscript"/>
          <w:rtl/>
        </w:rPr>
        <w:t>)</w:t>
      </w:r>
      <w:r w:rsidRPr="008C0FB5">
        <w:rPr>
          <w:rFonts w:hint="cs"/>
          <w:rtl/>
        </w:rPr>
        <w:t>.</w:t>
      </w:r>
    </w:p>
    <w:p w14:paraId="59614D4C" w14:textId="77777777" w:rsidR="00BF09F7" w:rsidRPr="008C0FB5" w:rsidRDefault="00BF09F7" w:rsidP="00C35031">
      <w:pPr>
        <w:pStyle w:val="35"/>
        <w:rPr>
          <w:rFonts w:hint="cs"/>
          <w:rtl/>
        </w:rPr>
      </w:pPr>
      <w:r w:rsidRPr="008C0FB5">
        <w:rPr>
          <w:rFonts w:hint="cs"/>
          <w:rtl/>
        </w:rPr>
        <w:t xml:space="preserve">ويورد ابن القيم بعد ذلك أدلة المخالفين ويناقشها بقصد إبطال ما ذهبوا </w:t>
      </w:r>
      <w:proofErr w:type="gramStart"/>
      <w:r w:rsidRPr="008C0FB5">
        <w:rPr>
          <w:rFonts w:hint="cs"/>
          <w:rtl/>
        </w:rPr>
        <w:t>إليه</w:t>
      </w:r>
      <w:r w:rsidRPr="008C0FB5">
        <w:rPr>
          <w:rFonts w:cs="Saihat" w:hint="cs"/>
          <w:vertAlign w:val="superscript"/>
          <w:rtl/>
        </w:rPr>
        <w:t>(</w:t>
      </w:r>
      <w:proofErr w:type="gramEnd"/>
      <w:r w:rsidRPr="008C0FB5">
        <w:rPr>
          <w:rStyle w:val="af0"/>
          <w:rFonts w:cs="Saihat"/>
          <w:sz w:val="30"/>
          <w:rtl/>
        </w:rPr>
        <w:footnoteReference w:id="81"/>
      </w:r>
      <w:r w:rsidRPr="008C0FB5">
        <w:rPr>
          <w:rFonts w:cs="Saihat" w:hint="cs"/>
          <w:vertAlign w:val="superscript"/>
          <w:rtl/>
        </w:rPr>
        <w:t>)</w:t>
      </w:r>
      <w:r w:rsidRPr="008C0FB5">
        <w:rPr>
          <w:rFonts w:hint="cs"/>
          <w:rtl/>
        </w:rPr>
        <w:t>.</w:t>
      </w:r>
    </w:p>
    <w:p w14:paraId="04DF406B" w14:textId="77777777" w:rsidR="00BF09F7" w:rsidRPr="008C0FB5" w:rsidRDefault="00BF09F7" w:rsidP="00C35031">
      <w:pPr>
        <w:pStyle w:val="35"/>
        <w:rPr>
          <w:rFonts w:hint="cs"/>
          <w:rtl/>
        </w:rPr>
      </w:pPr>
      <w:r w:rsidRPr="008C0FB5">
        <w:rPr>
          <w:rFonts w:hint="cs"/>
          <w:rtl/>
        </w:rPr>
        <w:t xml:space="preserve">ويقترب من ذلك أيضاً الإمام الشاطبي فهو يناصر الإرادة الباطنة إذ جاء في كتابه (الموافقات): </w:t>
      </w:r>
    </w:p>
    <w:p w14:paraId="03B6FA41" w14:textId="77777777" w:rsidR="00BF09F7" w:rsidRPr="008C0FB5" w:rsidRDefault="00BF09F7" w:rsidP="00A613BA">
      <w:pPr>
        <w:pStyle w:val="afffffff1"/>
        <w:rPr>
          <w:rFonts w:hint="cs"/>
          <w:rtl/>
        </w:rPr>
      </w:pPr>
      <w:r w:rsidRPr="008C0FB5">
        <w:rPr>
          <w:rFonts w:hint="cs"/>
          <w:rtl/>
        </w:rPr>
        <w:t>إنما الأعمال بالنيات والمقاصد معتبرة في التصرفات من العبادات والعادات والأدلة على هذا المعنى لا تنحصر، ويكفيك منها ان المقاصد تفرق ما بين ما هو عادة وما هو عبادة، وفي العبادات بين ما هو واجب وغير واجب، وفي العادات بين الواجب والمندوب والمباح والمكروه والمحرم والصحيح والفاسد، وغير ذلك من الأحكام، والعمل الواحد يقصد به أمر فيكون عبادة، ويقصد به شيء آخر فلا يكون كذلك، بل يقصد به شيء فيكون إيماناً، ويقصد به شيء آخر فيكون كفراً كالسجود لله أو للصنم، وأيضاً فالعمل إذا تعلق القصد به تعلقت به الأحكام التكليفية، وإذا عري عن القصد لم يتعلق به شيء منها كفعل النائم أو الغافل والمجنون</w:t>
      </w:r>
      <w:r w:rsidRPr="008C0FB5">
        <w:rPr>
          <w:rFonts w:hint="cs"/>
          <w:szCs w:val="30"/>
          <w:vertAlign w:val="superscript"/>
          <w:rtl/>
        </w:rPr>
        <w:t>(</w:t>
      </w:r>
      <w:r w:rsidRPr="008C0FB5">
        <w:rPr>
          <w:rStyle w:val="af0"/>
          <w:sz w:val="30"/>
          <w:szCs w:val="30"/>
          <w:rtl/>
        </w:rPr>
        <w:footnoteReference w:id="82"/>
      </w:r>
      <w:r w:rsidRPr="008C0FB5">
        <w:rPr>
          <w:rFonts w:hint="cs"/>
          <w:szCs w:val="30"/>
          <w:vertAlign w:val="superscript"/>
          <w:rtl/>
        </w:rPr>
        <w:t>)</w:t>
      </w:r>
      <w:r w:rsidRPr="008C0FB5">
        <w:rPr>
          <w:rFonts w:hint="cs"/>
          <w:rtl/>
        </w:rPr>
        <w:t>.</w:t>
      </w:r>
    </w:p>
    <w:p w14:paraId="1DAB37A1" w14:textId="77777777" w:rsidR="00BF09F7" w:rsidRPr="008C0FB5" w:rsidRDefault="00BF09F7" w:rsidP="00C35031">
      <w:pPr>
        <w:pStyle w:val="35"/>
        <w:rPr>
          <w:rFonts w:hint="cs"/>
          <w:rtl/>
        </w:rPr>
      </w:pPr>
      <w:r w:rsidRPr="008C0FB5">
        <w:rPr>
          <w:rFonts w:hint="cs"/>
          <w:rtl/>
        </w:rPr>
        <w:t xml:space="preserve">ولم تخرج التشريعات اللاتينية بشكل عام والقانون المدني الفرنسي بشكل خاص عن اتجاه مذهب المالكية </w:t>
      </w:r>
      <w:proofErr w:type="gramStart"/>
      <w:r w:rsidRPr="008C0FB5">
        <w:rPr>
          <w:rFonts w:hint="cs"/>
          <w:rtl/>
        </w:rPr>
        <w:t>والحنابلة</w:t>
      </w:r>
      <w:r w:rsidRPr="008C0FB5">
        <w:rPr>
          <w:rFonts w:cs="Saihat" w:hint="cs"/>
          <w:vertAlign w:val="superscript"/>
          <w:rtl/>
        </w:rPr>
        <w:t>(</w:t>
      </w:r>
      <w:proofErr w:type="gramEnd"/>
      <w:r w:rsidRPr="008C0FB5">
        <w:rPr>
          <w:rStyle w:val="af0"/>
          <w:rFonts w:cs="Saihat"/>
          <w:sz w:val="30"/>
          <w:rtl/>
        </w:rPr>
        <w:footnoteReference w:id="83"/>
      </w:r>
      <w:r w:rsidRPr="008C0FB5">
        <w:rPr>
          <w:rFonts w:cs="Saihat" w:hint="cs"/>
          <w:vertAlign w:val="superscript"/>
          <w:rtl/>
        </w:rPr>
        <w:t>)</w:t>
      </w:r>
      <w:r w:rsidRPr="008C0FB5">
        <w:rPr>
          <w:rFonts w:hint="cs"/>
          <w:rtl/>
        </w:rPr>
        <w:t xml:space="preserve">، فقد نص في المادة 1156 من القانون المدني الفرنسي على </w:t>
      </w:r>
    </w:p>
    <w:p w14:paraId="4C81CED0" w14:textId="77777777" w:rsidR="00BF09F7" w:rsidRPr="008C0FB5" w:rsidRDefault="00BF09F7" w:rsidP="00A613BA">
      <w:pPr>
        <w:pStyle w:val="afffffff1"/>
        <w:rPr>
          <w:rFonts w:hint="cs"/>
          <w:rtl/>
        </w:rPr>
      </w:pPr>
      <w:r w:rsidRPr="008C0FB5">
        <w:rPr>
          <w:rFonts w:hint="cs"/>
          <w:rtl/>
        </w:rPr>
        <w:t>انه يجب البحث في العقود عن نية المتعاقدين المشتركة لا الوقوف عند المعنى الحرفي للألفاظ</w:t>
      </w:r>
    </w:p>
    <w:p w14:paraId="2AE7EBAA" w14:textId="77777777" w:rsidR="00BF09F7" w:rsidRPr="008C0FB5" w:rsidRDefault="00BF09F7" w:rsidP="00C35031">
      <w:pPr>
        <w:pStyle w:val="35"/>
        <w:rPr>
          <w:rFonts w:hint="cs"/>
          <w:rtl/>
        </w:rPr>
      </w:pPr>
      <w:r w:rsidRPr="008C0FB5">
        <w:rPr>
          <w:rFonts w:hint="cs"/>
          <w:rtl/>
        </w:rPr>
        <w:t xml:space="preserve">هذا بالنسبة للقانون الفرنسي، أما بالنسبة لموقف القضاء الفرنسي في تفسير العقود وهو مذهب القصد والإرادة الباطنة والدليل على هذا واضحاً وذلك من خلال إبطاله للعديد من العقود لأن الباعث عليها غير مشروع لمخالفته للنظام العام وما الباعث إلا هو من قبيل الإرادة الباطنة، </w:t>
      </w:r>
      <w:r w:rsidRPr="008C0FB5">
        <w:rPr>
          <w:rFonts w:hint="cs"/>
          <w:rtl/>
        </w:rPr>
        <w:lastRenderedPageBreak/>
        <w:t xml:space="preserve">فقد أبطل القضاء الفرنسي بيع وإيجار مبنى يراد به أن يكون للمقامرة أو للدعارة، وسواء في ذلك أن يباع أو يؤجر بعد إعداده لهذا </w:t>
      </w:r>
      <w:proofErr w:type="gramStart"/>
      <w:r w:rsidRPr="008C0FB5">
        <w:rPr>
          <w:rFonts w:hint="cs"/>
          <w:rtl/>
        </w:rPr>
        <w:t>الغرض</w:t>
      </w:r>
      <w:r w:rsidRPr="008C0FB5">
        <w:rPr>
          <w:rFonts w:cs="Saihat" w:hint="cs"/>
          <w:vertAlign w:val="superscript"/>
          <w:rtl/>
        </w:rPr>
        <w:t>(</w:t>
      </w:r>
      <w:proofErr w:type="gramEnd"/>
      <w:r w:rsidRPr="008C0FB5">
        <w:rPr>
          <w:rStyle w:val="af0"/>
          <w:rFonts w:cs="Saihat"/>
          <w:sz w:val="30"/>
          <w:rtl/>
        </w:rPr>
        <w:footnoteReference w:id="84"/>
      </w:r>
      <w:r w:rsidRPr="008C0FB5">
        <w:rPr>
          <w:rFonts w:cs="Saihat" w:hint="cs"/>
          <w:vertAlign w:val="superscript"/>
          <w:rtl/>
        </w:rPr>
        <w:t>)</w:t>
      </w:r>
      <w:r w:rsidRPr="008C0FB5">
        <w:rPr>
          <w:rFonts w:hint="cs"/>
          <w:rtl/>
        </w:rPr>
        <w:t>.</w:t>
      </w:r>
    </w:p>
    <w:p w14:paraId="1E489407" w14:textId="77777777" w:rsidR="00BF09F7" w:rsidRPr="008C0FB5" w:rsidRDefault="00E634C5" w:rsidP="00C253D0">
      <w:pPr>
        <w:pStyle w:val="a1"/>
        <w:rPr>
          <w:rFonts w:hint="cs"/>
          <w:rtl/>
        </w:rPr>
      </w:pPr>
      <w:r w:rsidRPr="008C0FB5">
        <w:rPr>
          <w:rtl/>
        </w:rPr>
        <w:br w:type="page"/>
      </w:r>
      <w:bookmarkStart w:id="50" w:name="_Toc8643642"/>
      <w:r w:rsidR="00BF09F7" w:rsidRPr="008C0FB5">
        <w:rPr>
          <w:rFonts w:hint="cs"/>
          <w:rtl/>
        </w:rPr>
        <w:lastRenderedPageBreak/>
        <w:t>المطلب الثالث: اتجاه الاعتداد بالنظريتين معاً</w:t>
      </w:r>
      <w:bookmarkEnd w:id="50"/>
    </w:p>
    <w:p w14:paraId="61639E04" w14:textId="77777777" w:rsidR="00BF09F7" w:rsidRPr="008C0FB5" w:rsidRDefault="00BF09F7" w:rsidP="00C253D0">
      <w:pPr>
        <w:pStyle w:val="48"/>
        <w:rPr>
          <w:rFonts w:hint="cs"/>
          <w:rtl/>
        </w:rPr>
      </w:pPr>
      <w:r w:rsidRPr="008C0FB5">
        <w:rPr>
          <w:rFonts w:hint="cs"/>
          <w:rtl/>
        </w:rPr>
        <w:t xml:space="preserve">لقد وقف المذهب الحنفي موقفاً وسطاً من نظرية الإرادة الباطنة ونظرية الإرادة الظاهرة، ففي الأصل يعتد بالإرادة </w:t>
      </w:r>
      <w:proofErr w:type="gramStart"/>
      <w:r w:rsidRPr="008C0FB5">
        <w:rPr>
          <w:rFonts w:hint="cs"/>
          <w:rtl/>
        </w:rPr>
        <w:t>الظاهرة</w:t>
      </w:r>
      <w:proofErr w:type="gramEnd"/>
      <w:r w:rsidRPr="008C0FB5">
        <w:rPr>
          <w:rFonts w:hint="cs"/>
          <w:rtl/>
        </w:rPr>
        <w:t xml:space="preserve"> ولكن إذا كان بإمكان المتعاقد الآخر التعرف على الإرادة الباطنة، وذلك من طبيعة محل العقد، فانه يعتد بالإرادة الباطنة، أي انه لم يقف عند حدود الإرادة الظاهرة كما فعل الشافعية وكذلك فانه لم يترك الإرادة الظاهرة جانباً للبحث عن النوايا والقصود ولكنه خلط بين النظريتين لأنه اعتد بالإرادة الظاهرة مع أخذه بالإرادة الباطنة متى كانت طبيعة المحل دالة على ذلك. لكن الملاحظ على هذا المذهب، انه لم يضع نظرية في هذا الموضوع، وإنما أورد تطبيقات يمكن من خلال تحليلها واستقراءها الوقوف على حقيقة موقفه هذا، ومن أهم ما جاء في هذا الصدد هو ما ذكره الكاساني في كتابه البدائع إذ جاء فيه </w:t>
      </w:r>
    </w:p>
    <w:p w14:paraId="45B1F89D" w14:textId="77777777" w:rsidR="00BF09F7" w:rsidRPr="008C0FB5" w:rsidRDefault="00BF09F7" w:rsidP="00A613BA">
      <w:pPr>
        <w:pStyle w:val="afffffff1"/>
        <w:rPr>
          <w:rFonts w:hint="cs"/>
          <w:rtl/>
        </w:rPr>
      </w:pPr>
      <w:r w:rsidRPr="008C0FB5">
        <w:rPr>
          <w:rFonts w:hint="cs"/>
          <w:rtl/>
        </w:rPr>
        <w:t xml:space="preserve">وأما القرد، فعن أبي حنيفة روايتان، وجه رواية عدم الجواز لأنه غير مقتنع به شرعاً، فلا يكون مالاً كالخنزير، ووجه رواية الجواز لأنه إن لم يكن منتفع منه بذاته، يمكن الانتفاع بجلده، وهو حرام فكان هذا البيع </w:t>
      </w:r>
      <w:proofErr w:type="gramStart"/>
      <w:r w:rsidRPr="008C0FB5">
        <w:rPr>
          <w:rFonts w:hint="cs"/>
          <w:rtl/>
        </w:rPr>
        <w:t>باطلاً</w:t>
      </w:r>
      <w:r w:rsidRPr="008C0FB5">
        <w:rPr>
          <w:rFonts w:hint="cs"/>
          <w:szCs w:val="30"/>
          <w:vertAlign w:val="superscript"/>
          <w:rtl/>
        </w:rPr>
        <w:t>(</w:t>
      </w:r>
      <w:proofErr w:type="gramEnd"/>
      <w:r w:rsidRPr="008C0FB5">
        <w:rPr>
          <w:rStyle w:val="af0"/>
          <w:sz w:val="30"/>
          <w:szCs w:val="30"/>
          <w:rtl/>
        </w:rPr>
        <w:footnoteReference w:id="85"/>
      </w:r>
      <w:r w:rsidRPr="008C0FB5">
        <w:rPr>
          <w:rFonts w:hint="cs"/>
          <w:szCs w:val="30"/>
          <w:vertAlign w:val="superscript"/>
          <w:rtl/>
        </w:rPr>
        <w:t>)</w:t>
      </w:r>
      <w:r w:rsidRPr="008C0FB5">
        <w:rPr>
          <w:rFonts w:hint="cs"/>
          <w:rtl/>
        </w:rPr>
        <w:t>.</w:t>
      </w:r>
    </w:p>
    <w:p w14:paraId="579B6DDC" w14:textId="77777777" w:rsidR="00BF09F7" w:rsidRPr="008C0FB5" w:rsidRDefault="00BF09F7" w:rsidP="00C35031">
      <w:pPr>
        <w:pStyle w:val="35"/>
        <w:rPr>
          <w:rFonts w:hint="cs"/>
          <w:rtl/>
        </w:rPr>
      </w:pPr>
      <w:r w:rsidRPr="008C0FB5">
        <w:rPr>
          <w:rFonts w:hint="cs"/>
          <w:rtl/>
        </w:rPr>
        <w:t xml:space="preserve">وهذا دليل على أن المحل </w:t>
      </w:r>
      <w:r w:rsidRPr="008C0FB5">
        <w:rPr>
          <w:rFonts w:ascii="Times New Roman" w:hAnsi="Times New Roman" w:cs="Times New Roman" w:hint="cs"/>
          <w:rtl/>
        </w:rPr>
        <w:t>–</w:t>
      </w:r>
      <w:r w:rsidRPr="008C0FB5">
        <w:rPr>
          <w:rFonts w:hint="cs"/>
          <w:rtl/>
        </w:rPr>
        <w:t xml:space="preserve"> وهو القرد </w:t>
      </w:r>
      <w:r w:rsidRPr="008C0FB5">
        <w:rPr>
          <w:rFonts w:ascii="Times New Roman" w:hAnsi="Times New Roman" w:cs="Times New Roman" w:hint="cs"/>
          <w:rtl/>
        </w:rPr>
        <w:t>–</w:t>
      </w:r>
      <w:r w:rsidRPr="008C0FB5">
        <w:rPr>
          <w:rFonts w:hint="cs"/>
          <w:rtl/>
        </w:rPr>
        <w:t xml:space="preserve"> إذا تبين للبائع ان من اشتراه يستعمله للهو به وليس للانتفاع بجلده، يبطل العقد ولو لم يذكر فيه صراحة على انه يستعمل للهو لأن طبيعة المحل كافية لبيان ذلك.</w:t>
      </w:r>
    </w:p>
    <w:p w14:paraId="00D26E10" w14:textId="77777777" w:rsidR="00BF09F7" w:rsidRPr="008C0FB5" w:rsidRDefault="00BF09F7" w:rsidP="00C35031">
      <w:pPr>
        <w:pStyle w:val="35"/>
        <w:rPr>
          <w:rFonts w:hint="cs"/>
          <w:rtl/>
        </w:rPr>
      </w:pPr>
      <w:r w:rsidRPr="008C0FB5">
        <w:rPr>
          <w:rFonts w:hint="cs"/>
          <w:rtl/>
        </w:rPr>
        <w:t xml:space="preserve">وهذا الاتجاه الثالث الذي تبناه الفقه الحنفي </w:t>
      </w:r>
      <w:r w:rsidRPr="008C0FB5">
        <w:rPr>
          <w:rFonts w:ascii="Times New Roman" w:hAnsi="Times New Roman" w:cs="Times New Roman" w:hint="cs"/>
          <w:rtl/>
        </w:rPr>
        <w:t>–</w:t>
      </w:r>
      <w:r w:rsidRPr="008C0FB5">
        <w:rPr>
          <w:rFonts w:hint="cs"/>
          <w:rtl/>
        </w:rPr>
        <w:t xml:space="preserve"> تبعه في ذلك أغلب القوانين الوضعية العربية </w:t>
      </w:r>
      <w:r w:rsidRPr="008C0FB5">
        <w:rPr>
          <w:rFonts w:ascii="Times New Roman" w:hAnsi="Times New Roman" w:cs="Times New Roman" w:hint="cs"/>
          <w:rtl/>
        </w:rPr>
        <w:t>–</w:t>
      </w:r>
      <w:r w:rsidRPr="008C0FB5">
        <w:rPr>
          <w:rFonts w:hint="cs"/>
          <w:rtl/>
        </w:rPr>
        <w:t xml:space="preserve"> إن لم يكن جميعها وذلك تحقيقاً للعدالة وضماناً لاستقرار المعاملات في نفس الوقت، ولكن يجب ملاحظة ان الخلط بين النظريتين في القوانين لم يكن على وتيرة واحدة، فقد أخذت بعض القوانين بنظرية الإرادة الباطنة كأصل عام وأكملتها بنظرية الإرادة الظاهرة </w:t>
      </w:r>
      <w:r w:rsidRPr="008C0FB5">
        <w:rPr>
          <w:rFonts w:ascii="Times New Roman" w:hAnsi="Times New Roman" w:cs="Times New Roman" w:hint="cs"/>
          <w:rtl/>
        </w:rPr>
        <w:t>–</w:t>
      </w:r>
      <w:r w:rsidRPr="008C0FB5">
        <w:rPr>
          <w:rFonts w:hint="cs"/>
          <w:rtl/>
        </w:rPr>
        <w:t xml:space="preserve"> كالقانون المدني المصري ومن تبعه في ذلك </w:t>
      </w:r>
      <w:r w:rsidRPr="008C0FB5">
        <w:rPr>
          <w:rFonts w:ascii="Times New Roman" w:hAnsi="Times New Roman" w:cs="Times New Roman" w:hint="cs"/>
          <w:rtl/>
        </w:rPr>
        <w:t>–</w:t>
      </w:r>
      <w:r w:rsidRPr="008C0FB5">
        <w:rPr>
          <w:rFonts w:hint="cs"/>
          <w:rtl/>
        </w:rPr>
        <w:t xml:space="preserve"> هذه القوانين أخذت بنظرية الباعث الدافع إلى التعاقد لأن الإرادة الباطنة ما هي إلا تمثيل </w:t>
      </w:r>
      <w:proofErr w:type="gramStart"/>
      <w:r w:rsidRPr="008C0FB5">
        <w:rPr>
          <w:rFonts w:hint="cs"/>
          <w:rtl/>
        </w:rPr>
        <w:t>للباعث</w:t>
      </w:r>
      <w:r w:rsidRPr="008C0FB5">
        <w:rPr>
          <w:rFonts w:cs="Saihat" w:hint="cs"/>
          <w:vertAlign w:val="superscript"/>
          <w:rtl/>
        </w:rPr>
        <w:t>(</w:t>
      </w:r>
      <w:proofErr w:type="gramEnd"/>
      <w:r w:rsidRPr="008C0FB5">
        <w:rPr>
          <w:rStyle w:val="af0"/>
          <w:rFonts w:cs="Saihat"/>
          <w:sz w:val="30"/>
          <w:rtl/>
        </w:rPr>
        <w:footnoteReference w:id="86"/>
      </w:r>
      <w:r w:rsidRPr="008C0FB5">
        <w:rPr>
          <w:rFonts w:cs="Saihat" w:hint="cs"/>
          <w:vertAlign w:val="superscript"/>
          <w:rtl/>
        </w:rPr>
        <w:t>)</w:t>
      </w:r>
      <w:r w:rsidRPr="008C0FB5">
        <w:rPr>
          <w:rFonts w:hint="cs"/>
          <w:rtl/>
        </w:rPr>
        <w:t>.</w:t>
      </w:r>
    </w:p>
    <w:p w14:paraId="23D506D3" w14:textId="77777777" w:rsidR="00BF09F7" w:rsidRPr="008C0FB5" w:rsidRDefault="00BF09F7" w:rsidP="00C35031">
      <w:pPr>
        <w:pStyle w:val="35"/>
        <w:rPr>
          <w:rFonts w:hint="cs"/>
          <w:rtl/>
        </w:rPr>
      </w:pPr>
      <w:r w:rsidRPr="008C0FB5">
        <w:rPr>
          <w:rFonts w:hint="cs"/>
          <w:rtl/>
        </w:rPr>
        <w:t xml:space="preserve">أما بالنسبة للقوانين التي أخذت بنظرية الإرادة الظاهرة كأصل عام وأكملتها بالإرادة الباطنة، كقانون الالتزامات والعقود المغربي، فانها لم تعتد بالباعث لأن الباعث كما قلنا من قبيل الإرادة </w:t>
      </w:r>
      <w:proofErr w:type="gramStart"/>
      <w:r w:rsidRPr="008C0FB5">
        <w:rPr>
          <w:rFonts w:hint="cs"/>
          <w:rtl/>
        </w:rPr>
        <w:t>الباطنة</w:t>
      </w:r>
      <w:r w:rsidRPr="008C0FB5">
        <w:rPr>
          <w:rFonts w:cs="Saihat" w:hint="cs"/>
          <w:vertAlign w:val="superscript"/>
          <w:rtl/>
        </w:rPr>
        <w:t>(</w:t>
      </w:r>
      <w:proofErr w:type="gramEnd"/>
      <w:r w:rsidRPr="008C0FB5">
        <w:rPr>
          <w:rStyle w:val="af0"/>
          <w:rFonts w:cs="Saihat"/>
          <w:sz w:val="30"/>
          <w:rtl/>
        </w:rPr>
        <w:footnoteReference w:id="87"/>
      </w:r>
      <w:r w:rsidRPr="008C0FB5">
        <w:rPr>
          <w:rFonts w:cs="Saihat" w:hint="cs"/>
          <w:vertAlign w:val="superscript"/>
          <w:rtl/>
        </w:rPr>
        <w:t>)</w:t>
      </w:r>
      <w:r w:rsidRPr="008C0FB5">
        <w:rPr>
          <w:rFonts w:hint="cs"/>
          <w:rtl/>
        </w:rPr>
        <w:t>.</w:t>
      </w:r>
    </w:p>
    <w:p w14:paraId="3E738A2C" w14:textId="77777777" w:rsidR="00BF09F7" w:rsidRPr="008C0FB5" w:rsidRDefault="00BF09F7" w:rsidP="00C35031">
      <w:pPr>
        <w:pStyle w:val="35"/>
        <w:rPr>
          <w:rFonts w:hint="cs"/>
          <w:rtl/>
        </w:rPr>
      </w:pPr>
      <w:r w:rsidRPr="008C0FB5">
        <w:rPr>
          <w:rFonts w:hint="cs"/>
          <w:rtl/>
        </w:rPr>
        <w:t xml:space="preserve">أما بالنسبة للقانون المدني العراقي </w:t>
      </w:r>
      <w:r w:rsidRPr="008C0FB5">
        <w:rPr>
          <w:rFonts w:ascii="Times New Roman" w:hAnsi="Times New Roman" w:cs="Times New Roman" w:hint="cs"/>
          <w:rtl/>
        </w:rPr>
        <w:t>–</w:t>
      </w:r>
      <w:r w:rsidRPr="008C0FB5">
        <w:rPr>
          <w:rFonts w:hint="cs"/>
          <w:rtl/>
        </w:rPr>
        <w:t xml:space="preserve"> فهو الآخر لم يقف عند إرادة دون أخرى وإنما كان موفه مختلطاً، أي انه أخذ بالإرادتين معاً دون أن يغلب إحداهما على الأخرى، ففي بعض الحالات يغلب الإرادة الظاهرة على الإرادة الباطنة كما في صيغة العقد اللفظية بالمضي كقولك (بعتك أو اشتريت) ذلك لأن هذه الصيغة تدل دلالة قاطعة على ثبوت الإرادة فيأخذ بالإرادة الظاهرة ومع ذلك في حالات أخرى يميل إلى تغليب الإرادة الباطنة على الإرادة الظاهرة كما </w:t>
      </w:r>
      <w:r w:rsidRPr="008C0FB5">
        <w:rPr>
          <w:rFonts w:hint="cs"/>
          <w:rtl/>
        </w:rPr>
        <w:lastRenderedPageBreak/>
        <w:t xml:space="preserve">في صيغة العقد إذا كانت بالمضارع أو الأمر أو </w:t>
      </w:r>
      <w:proofErr w:type="gramStart"/>
      <w:r w:rsidRPr="008C0FB5">
        <w:rPr>
          <w:rFonts w:hint="cs"/>
          <w:rtl/>
        </w:rPr>
        <w:t>الاستقبال</w:t>
      </w:r>
      <w:r w:rsidRPr="008C0FB5">
        <w:rPr>
          <w:rFonts w:cs="Saihat" w:hint="cs"/>
          <w:vertAlign w:val="superscript"/>
          <w:rtl/>
        </w:rPr>
        <w:t>(</w:t>
      </w:r>
      <w:proofErr w:type="gramEnd"/>
      <w:r w:rsidRPr="008C0FB5">
        <w:rPr>
          <w:rStyle w:val="af0"/>
          <w:rFonts w:cs="Saihat"/>
          <w:sz w:val="30"/>
          <w:rtl/>
        </w:rPr>
        <w:footnoteReference w:id="88"/>
      </w:r>
      <w:r w:rsidRPr="008C0FB5">
        <w:rPr>
          <w:rFonts w:cs="Saihat" w:hint="cs"/>
          <w:vertAlign w:val="superscript"/>
          <w:rtl/>
        </w:rPr>
        <w:t>)</w:t>
      </w:r>
      <w:r w:rsidRPr="008C0FB5">
        <w:rPr>
          <w:rFonts w:hint="cs"/>
          <w:rtl/>
        </w:rPr>
        <w:t>.</w:t>
      </w:r>
    </w:p>
    <w:p w14:paraId="71887DD4" w14:textId="77777777" w:rsidR="00BF09F7" w:rsidRPr="008C0FB5" w:rsidRDefault="00BF09F7" w:rsidP="00C35031">
      <w:pPr>
        <w:pStyle w:val="35"/>
        <w:rPr>
          <w:rFonts w:hint="cs"/>
          <w:rtl/>
        </w:rPr>
      </w:pPr>
      <w:r w:rsidRPr="008C0FB5">
        <w:rPr>
          <w:rFonts w:hint="cs"/>
          <w:rtl/>
        </w:rPr>
        <w:t xml:space="preserve">وبالنسبة لهذا الموقف الأخير الذي خلط بين النظريتين دون ترجيح لأحدهما على الأخرى بشكل مطلق، فانه اعتد بالباعث ولو لم يذكر في صيغة العقد إذا كان معلوماً من قبل المتعاقد الآخر أو بإمكانه العلم به، أما إذا لم يكن معلوماً من قبل المتعاقد الآخر ولم يكن باستطاعته أن يعلم به فلا يعتد به، ولم يكن الاعتداد بالباعث في الحالة الأولى إلا أخذاً بالإرادة الباطنة للمتعاقدين أما في الحالة الثانية، وهي حالة عدم الاعتداد بالباعث فلم تكن إلا من قبيل الأخذ بالإرادة </w:t>
      </w:r>
      <w:proofErr w:type="gramStart"/>
      <w:r w:rsidRPr="008C0FB5">
        <w:rPr>
          <w:rFonts w:hint="cs"/>
          <w:rtl/>
        </w:rPr>
        <w:t>الظاهرة</w:t>
      </w:r>
      <w:r w:rsidRPr="008C0FB5">
        <w:rPr>
          <w:rFonts w:cs="Saihat" w:hint="cs"/>
          <w:vertAlign w:val="superscript"/>
          <w:rtl/>
        </w:rPr>
        <w:t>(</w:t>
      </w:r>
      <w:proofErr w:type="gramEnd"/>
      <w:r w:rsidRPr="008C0FB5">
        <w:rPr>
          <w:rStyle w:val="af0"/>
          <w:rFonts w:cs="Saihat"/>
          <w:sz w:val="30"/>
          <w:rtl/>
        </w:rPr>
        <w:footnoteReference w:id="89"/>
      </w:r>
      <w:r w:rsidRPr="008C0FB5">
        <w:rPr>
          <w:rFonts w:cs="Saihat" w:hint="cs"/>
          <w:vertAlign w:val="superscript"/>
          <w:rtl/>
        </w:rPr>
        <w:t>)</w:t>
      </w:r>
      <w:r w:rsidRPr="008C0FB5">
        <w:rPr>
          <w:rFonts w:hint="cs"/>
          <w:rtl/>
        </w:rPr>
        <w:t xml:space="preserve">.  </w:t>
      </w:r>
    </w:p>
    <w:p w14:paraId="1C502D3F" w14:textId="77777777" w:rsidR="00BF09F7" w:rsidRPr="008C0FB5" w:rsidRDefault="00E634C5" w:rsidP="00C253D0">
      <w:pPr>
        <w:pStyle w:val="a0"/>
        <w:rPr>
          <w:rFonts w:hint="cs"/>
          <w:rtl/>
        </w:rPr>
      </w:pPr>
      <w:r w:rsidRPr="008C0FB5">
        <w:rPr>
          <w:rtl/>
        </w:rPr>
        <w:br w:type="page"/>
      </w:r>
      <w:bookmarkStart w:id="51" w:name="_Toc8643643"/>
      <w:r w:rsidR="00BF09F7" w:rsidRPr="008C0FB5">
        <w:rPr>
          <w:rFonts w:hint="cs"/>
          <w:rtl/>
        </w:rPr>
        <w:lastRenderedPageBreak/>
        <w:t>المبحث الرابع: معيار الباعث وضابطه</w:t>
      </w:r>
      <w:bookmarkEnd w:id="51"/>
    </w:p>
    <w:p w14:paraId="4AE48DD9" w14:textId="77777777" w:rsidR="00BF09F7" w:rsidRPr="008C0FB5" w:rsidRDefault="00BF09F7" w:rsidP="00C253D0">
      <w:pPr>
        <w:pStyle w:val="48"/>
        <w:rPr>
          <w:rFonts w:hint="cs"/>
          <w:rtl/>
        </w:rPr>
      </w:pPr>
      <w:r w:rsidRPr="008C0FB5">
        <w:rPr>
          <w:rFonts w:hint="cs"/>
          <w:rtl/>
        </w:rPr>
        <w:t>لما يتميز به الباعث من انه أمر يكمن في غياهب الصدور وخفايا النفوس، واختلافه باختلاف الأشخاص والعقود، فانه لابد من أن يكون له ضابطاً معيناً يدعو إلى استقرار المعاملات ويحميها من خطر البطلان المفاجئ، ولذلك كله فقد قسمنا هذا المبحث إلى مطلبين نتناول في أولهما معيار الباعث وضابطه في الشريعة الإسلامية أما ثانيهما فقد خصصناه لبحث هذا المعيار بالنسبة للقانون الوضعي.</w:t>
      </w:r>
    </w:p>
    <w:p w14:paraId="3D228E01" w14:textId="77777777" w:rsidR="00BF09F7" w:rsidRPr="008C0FB5" w:rsidRDefault="00BF09F7" w:rsidP="00C253D0">
      <w:pPr>
        <w:pStyle w:val="a1"/>
        <w:rPr>
          <w:rFonts w:hint="cs"/>
          <w:rtl/>
        </w:rPr>
      </w:pPr>
      <w:bookmarkStart w:id="52" w:name="_Toc8643644"/>
      <w:r w:rsidRPr="008C0FB5">
        <w:rPr>
          <w:rFonts w:hint="cs"/>
          <w:rtl/>
        </w:rPr>
        <w:t>المطلب الأول: معيار الباعث وضابطه في الفقه الإسلامي</w:t>
      </w:r>
      <w:bookmarkEnd w:id="52"/>
    </w:p>
    <w:p w14:paraId="71AEA3D6" w14:textId="77777777" w:rsidR="00BF09F7" w:rsidRPr="008C0FB5" w:rsidRDefault="00BF09F7" w:rsidP="00C253D0">
      <w:pPr>
        <w:pStyle w:val="48"/>
        <w:rPr>
          <w:rFonts w:hint="cs"/>
          <w:rtl/>
        </w:rPr>
      </w:pPr>
      <w:r w:rsidRPr="008C0FB5">
        <w:rPr>
          <w:rFonts w:hint="cs"/>
          <w:rtl/>
        </w:rPr>
        <w:t>لقد اتفق فقهاء المذاهب الإسلامية على بطلان العقد ذي الباعث غير المشروع، لكنهم لم يتفقوا على شروط الإبطال، فقد تشدد البعض بشأنها واشترط أن يكون الباعث مذكوراً صراحة في صلب العقد، وهذا هو موقف المذهب الشافعي، أما البعض الآخر فقد تساهل في هذه الشروط فلم يشترط ذكر الباعث صراحة في العقد وإنما اكتفى بدرجة العلم أو إمكانية العلم وهذا هو موقف المالكية والحنابلة والجعفرية ومنهم من توسط بين هذين الاتجاهين فاكتفى بالقول بأنه يعمل بالباعث إذا كان مذكوراً صراحة في العقد أو أمكن استخلاصه من طبيعة المحل ولذلك كله سنتناول هذه الاتجاهات الثلاث على النحو الآتي:</w:t>
      </w:r>
    </w:p>
    <w:p w14:paraId="53D04306" w14:textId="77777777" w:rsidR="00BF09F7" w:rsidRPr="008C0FB5" w:rsidRDefault="00BF09F7" w:rsidP="00C253D0">
      <w:pPr>
        <w:pStyle w:val="48"/>
        <w:numPr>
          <w:ilvl w:val="0"/>
          <w:numId w:val="47"/>
        </w:numPr>
        <w:rPr>
          <w:rFonts w:hint="cs"/>
          <w:rtl/>
        </w:rPr>
      </w:pPr>
      <w:r w:rsidRPr="008C0FB5">
        <w:rPr>
          <w:rFonts w:hint="cs"/>
          <w:rtl/>
        </w:rPr>
        <w:t xml:space="preserve">الاتجاه الأول: وهو الموقف المتشدد من نظرية الباعث وقد تزعمه الإمام الشافعي (رح) إذ انه لا يرتب على الباعث غير المشروع أي أثر إذا لم يكن مذكوراً صراحة في صلب العقد، فقد ذكر في كتابه </w:t>
      </w:r>
      <w:proofErr w:type="gramStart"/>
      <w:r w:rsidRPr="008C0FB5">
        <w:rPr>
          <w:rFonts w:hint="cs"/>
          <w:rtl/>
        </w:rPr>
        <w:t>الأم</w:t>
      </w:r>
      <w:r w:rsidRPr="008C0FB5">
        <w:rPr>
          <w:rFonts w:cs="Saihat" w:hint="cs"/>
          <w:vertAlign w:val="superscript"/>
          <w:rtl/>
        </w:rPr>
        <w:t>(</w:t>
      </w:r>
      <w:proofErr w:type="gramEnd"/>
      <w:r w:rsidRPr="008C0FB5">
        <w:rPr>
          <w:rStyle w:val="af0"/>
          <w:rFonts w:cs="Saihat"/>
          <w:sz w:val="30"/>
          <w:rtl/>
        </w:rPr>
        <w:footnoteReference w:id="90"/>
      </w:r>
      <w:r w:rsidRPr="008C0FB5">
        <w:rPr>
          <w:rFonts w:cs="Saihat" w:hint="cs"/>
          <w:vertAlign w:val="superscript"/>
          <w:rtl/>
        </w:rPr>
        <w:t>)</w:t>
      </w:r>
      <w:r w:rsidRPr="008C0FB5">
        <w:rPr>
          <w:rFonts w:hint="cs"/>
          <w:rtl/>
        </w:rPr>
        <w:t xml:space="preserve"> </w:t>
      </w:r>
    </w:p>
    <w:p w14:paraId="77A827CD" w14:textId="77777777" w:rsidR="00BF09F7" w:rsidRPr="008C0FB5" w:rsidRDefault="00BF09F7" w:rsidP="00A613BA">
      <w:pPr>
        <w:pStyle w:val="afffffff1"/>
        <w:rPr>
          <w:rFonts w:hint="cs"/>
          <w:rtl/>
        </w:rPr>
      </w:pPr>
      <w:r w:rsidRPr="008C0FB5">
        <w:rPr>
          <w:rFonts w:hint="cs"/>
          <w:rtl/>
        </w:rPr>
        <w:t>أصل ما أذهب إليه ان كل عقد كان صحيحاً في الظاهر لم أبطله بتهمة ولا بعادة بين المتبايعين وأجزته بصحة الظاهر، وأكره لهما النية إذا كانت النية لو ظهرت كانت تفسد البيع، وكما أكره للرجل أن يشتري السيف على أن يقتل به ولا يحرم على بائعه أن يبيعه ممن يراه انه يقتل به ظلماً لأنه قد لا يقتل به، ولا أفسد عليه هذا البيع، وكما أكره للرجل أن يبيع العنب ممن يراه انه يعصره خمراً، ولا أفسد عليه البيع إذا باعه إياه، لأنه باعه حلالاً، وقد يمكن أن لا يجعله خمراً أبداً، وفي صاحب السيف ألا يقتل به أحداً أبداً ولو نكح رجل امرأة عقداً صحيحاً وهو ينوي ألا يمسكها إلا يوماً أو أقل أو أكثر، لم أفسد النكاح، وإنما أفسده أبداً بالعقد الفاسد</w:t>
      </w:r>
      <w:r w:rsidR="003E1E9A" w:rsidRPr="008C0FB5">
        <w:rPr>
          <w:rFonts w:cs="hashemi" w:hint="cs"/>
          <w:rtl/>
          <w:lang w:bidi="ar-IQ"/>
        </w:rPr>
        <w:t>.</w:t>
      </w:r>
    </w:p>
    <w:p w14:paraId="090BCF86" w14:textId="77777777" w:rsidR="00BF09F7" w:rsidRPr="008C0FB5" w:rsidRDefault="00BF09F7" w:rsidP="00C253D0">
      <w:pPr>
        <w:pStyle w:val="48"/>
        <w:numPr>
          <w:ilvl w:val="0"/>
          <w:numId w:val="47"/>
        </w:numPr>
        <w:rPr>
          <w:rFonts w:hint="cs"/>
          <w:rtl/>
        </w:rPr>
      </w:pPr>
      <w:r w:rsidRPr="008C0FB5">
        <w:rPr>
          <w:rFonts w:hint="cs"/>
          <w:rtl/>
        </w:rPr>
        <w:t xml:space="preserve">الاتجاه الثاني: وهذا الموقف الذي تزعمه الجعفرية والمالكية والحنابلة، لم يشترطوا ذكر الباعث صراحة في العقد للعمل به وترتيب الآثار عليه، ونما اشترطوا فقط أن يكون هذا الباعث معلوماً من قبل الطرف الآخر لترتيب الآثار الواجبة عليه. إذ جاء في أعلام الموقعين لابن القيم </w:t>
      </w:r>
      <w:proofErr w:type="gramStart"/>
      <w:r w:rsidRPr="008C0FB5">
        <w:rPr>
          <w:rFonts w:hint="cs"/>
          <w:rtl/>
        </w:rPr>
        <w:t>الحنبلي</w:t>
      </w:r>
      <w:r w:rsidRPr="008C0FB5">
        <w:rPr>
          <w:rFonts w:cs="Saihat" w:hint="cs"/>
          <w:vertAlign w:val="superscript"/>
          <w:rtl/>
        </w:rPr>
        <w:t>(</w:t>
      </w:r>
      <w:proofErr w:type="gramEnd"/>
      <w:r w:rsidRPr="008C0FB5">
        <w:rPr>
          <w:rStyle w:val="af0"/>
          <w:rFonts w:cs="Saihat"/>
          <w:sz w:val="30"/>
          <w:rtl/>
        </w:rPr>
        <w:footnoteReference w:id="91"/>
      </w:r>
      <w:r w:rsidRPr="008C0FB5">
        <w:rPr>
          <w:rFonts w:cs="Saihat" w:hint="cs"/>
          <w:vertAlign w:val="superscript"/>
          <w:rtl/>
        </w:rPr>
        <w:t>)</w:t>
      </w:r>
      <w:r w:rsidRPr="008C0FB5">
        <w:rPr>
          <w:rFonts w:hint="cs"/>
          <w:rtl/>
        </w:rPr>
        <w:t xml:space="preserve"> </w:t>
      </w:r>
    </w:p>
    <w:p w14:paraId="2524F876" w14:textId="77777777" w:rsidR="00BF09F7" w:rsidRPr="008C0FB5" w:rsidRDefault="00BF09F7" w:rsidP="00A613BA">
      <w:pPr>
        <w:pStyle w:val="afffffff1"/>
        <w:rPr>
          <w:rFonts w:hint="cs"/>
          <w:rtl/>
        </w:rPr>
      </w:pPr>
      <w:r w:rsidRPr="008C0FB5">
        <w:rPr>
          <w:rFonts w:hint="cs"/>
          <w:rtl/>
        </w:rPr>
        <w:t xml:space="preserve">وإن قصد بها </w:t>
      </w:r>
      <w:r w:rsidRPr="008C0FB5">
        <w:rPr>
          <w:rFonts w:ascii="Times New Roman" w:hAnsi="Times New Roman" w:cs="Times New Roman" w:hint="cs"/>
          <w:rtl/>
        </w:rPr>
        <w:t>–</w:t>
      </w:r>
      <w:r w:rsidRPr="008C0FB5">
        <w:rPr>
          <w:rFonts w:hint="cs"/>
          <w:rtl/>
        </w:rPr>
        <w:t xml:space="preserve"> أي بالوسائل كالعقود </w:t>
      </w:r>
      <w:r w:rsidRPr="008C0FB5">
        <w:rPr>
          <w:rFonts w:ascii="Times New Roman" w:hAnsi="Times New Roman" w:cs="Times New Roman" w:hint="cs"/>
          <w:rtl/>
        </w:rPr>
        <w:t>–</w:t>
      </w:r>
      <w:r w:rsidRPr="008C0FB5">
        <w:rPr>
          <w:rFonts w:hint="cs"/>
          <w:rtl/>
        </w:rPr>
        <w:t xml:space="preserve"> ما لا يجوز قصده كالتكلم بنكحت وتزوجت قصد التحليل وبعت واشتريت قصد الربا وبخالعتها بقصد الحيلة على فعل المحلوف </w:t>
      </w:r>
      <w:proofErr w:type="gramStart"/>
      <w:r w:rsidRPr="008C0FB5">
        <w:rPr>
          <w:rFonts w:hint="cs"/>
          <w:rtl/>
        </w:rPr>
        <w:t>عليه</w:t>
      </w:r>
      <w:r w:rsidRPr="008C0FB5">
        <w:rPr>
          <w:rFonts w:hint="cs"/>
          <w:szCs w:val="30"/>
          <w:vertAlign w:val="superscript"/>
          <w:rtl/>
        </w:rPr>
        <w:t>(</w:t>
      </w:r>
      <w:proofErr w:type="gramEnd"/>
      <w:r w:rsidRPr="008C0FB5">
        <w:rPr>
          <w:rStyle w:val="af0"/>
          <w:sz w:val="30"/>
          <w:szCs w:val="30"/>
          <w:rtl/>
        </w:rPr>
        <w:footnoteReference w:id="92"/>
      </w:r>
      <w:r w:rsidRPr="008C0FB5">
        <w:rPr>
          <w:rFonts w:hint="cs"/>
          <w:szCs w:val="30"/>
          <w:vertAlign w:val="superscript"/>
          <w:rtl/>
        </w:rPr>
        <w:t>)</w:t>
      </w:r>
      <w:r w:rsidRPr="008C0FB5">
        <w:rPr>
          <w:rFonts w:hint="cs"/>
          <w:rtl/>
        </w:rPr>
        <w:t xml:space="preserve">، وبملكت بقصد </w:t>
      </w:r>
      <w:r w:rsidRPr="008C0FB5">
        <w:rPr>
          <w:rFonts w:hint="cs"/>
          <w:rtl/>
        </w:rPr>
        <w:lastRenderedPageBreak/>
        <w:t>الحيلة على إسقاط الزكاة أو الشفعة وما أشبه ذلك فهذا لا يحصل له مقصوده الذي قصده وجعل ظاهر اللفظ والفعل وسيلة إليه فان في تحصيل مقصوده تنفيذاً للمحرم وإسقاطاً للمحرم وإسقاطاً للواجب وإعانة على معصية الله ومناقضة لديه وشرعه فأعانته على ذلك إعانة على الإثم والعدوان</w:t>
      </w:r>
      <w:r w:rsidR="003E1E9A" w:rsidRPr="008C0FB5">
        <w:rPr>
          <w:rFonts w:cs="hashemi" w:hint="cs"/>
          <w:rtl/>
          <w:lang w:bidi="ar-IQ"/>
        </w:rPr>
        <w:t>.</w:t>
      </w:r>
    </w:p>
    <w:p w14:paraId="165C83DD" w14:textId="77777777" w:rsidR="00BF09F7" w:rsidRPr="008C0FB5" w:rsidRDefault="00BF09F7" w:rsidP="00C253D0">
      <w:pPr>
        <w:pStyle w:val="35"/>
        <w:rPr>
          <w:rFonts w:hint="cs"/>
          <w:rtl/>
        </w:rPr>
      </w:pPr>
      <w:r w:rsidRPr="008C0FB5">
        <w:rPr>
          <w:rFonts w:hint="cs"/>
          <w:rtl/>
        </w:rPr>
        <w:t xml:space="preserve">وجاء في مفتاح </w:t>
      </w:r>
      <w:proofErr w:type="gramStart"/>
      <w:r w:rsidRPr="008C0FB5">
        <w:rPr>
          <w:rFonts w:hint="cs"/>
          <w:rtl/>
        </w:rPr>
        <w:t>الكرامة</w:t>
      </w:r>
      <w:r w:rsidRPr="008C0FB5">
        <w:rPr>
          <w:rFonts w:cs="Saihat" w:hint="cs"/>
          <w:vertAlign w:val="superscript"/>
          <w:rtl/>
        </w:rPr>
        <w:t>(</w:t>
      </w:r>
      <w:proofErr w:type="gramEnd"/>
      <w:r w:rsidRPr="008C0FB5">
        <w:rPr>
          <w:rStyle w:val="af0"/>
          <w:rFonts w:cs="Saihat"/>
          <w:sz w:val="30"/>
          <w:rtl/>
        </w:rPr>
        <w:footnoteReference w:id="93"/>
      </w:r>
      <w:r w:rsidRPr="008C0FB5">
        <w:rPr>
          <w:rFonts w:cs="Saihat" w:hint="cs"/>
          <w:vertAlign w:val="superscript"/>
          <w:rtl/>
        </w:rPr>
        <w:t>)</w:t>
      </w:r>
      <w:r w:rsidRPr="008C0FB5">
        <w:rPr>
          <w:rFonts w:hint="cs"/>
          <w:rtl/>
        </w:rPr>
        <w:t xml:space="preserve"> </w:t>
      </w:r>
    </w:p>
    <w:p w14:paraId="763B6337" w14:textId="77777777" w:rsidR="00BF09F7" w:rsidRPr="008C0FB5" w:rsidRDefault="00BF09F7" w:rsidP="00A613BA">
      <w:pPr>
        <w:pStyle w:val="afffffff1"/>
        <w:rPr>
          <w:rFonts w:hint="cs"/>
          <w:rtl/>
        </w:rPr>
      </w:pPr>
      <w:r w:rsidRPr="008C0FB5">
        <w:rPr>
          <w:rFonts w:hint="cs"/>
          <w:rtl/>
        </w:rPr>
        <w:t>... المحظور الاكتساب بكل ما يكون المقصود منه حراماً، عيناً كان كآلات اللهو، أو غير عين كبيع السلاح (لأعداء الدين) تحريم كل ما يعان به على الظلم والعدوان ولو لمدة قلم مع العلم والقصد</w:t>
      </w:r>
      <w:r w:rsidR="003E1E9A" w:rsidRPr="008C0FB5">
        <w:rPr>
          <w:rFonts w:cs="hashemi" w:hint="cs"/>
          <w:rtl/>
          <w:lang w:bidi="ar-IQ"/>
        </w:rPr>
        <w:t>.</w:t>
      </w:r>
    </w:p>
    <w:p w14:paraId="5F5A1C15" w14:textId="77777777" w:rsidR="00BF09F7" w:rsidRPr="008C0FB5" w:rsidRDefault="00BF09F7" w:rsidP="00C253D0">
      <w:pPr>
        <w:pStyle w:val="48"/>
        <w:numPr>
          <w:ilvl w:val="0"/>
          <w:numId w:val="47"/>
        </w:numPr>
        <w:rPr>
          <w:rFonts w:hint="cs"/>
          <w:rtl/>
        </w:rPr>
      </w:pPr>
      <w:r w:rsidRPr="008C0FB5">
        <w:rPr>
          <w:rFonts w:hint="cs"/>
          <w:rtl/>
        </w:rPr>
        <w:t>الاتجاه الثالث: وهو الموقف الوسط بين الاتجاهين السابقين ذهب إليه الحنفية وهو انه يشترط في الباعث الدافع غير المشروع من حيث تأثيره في بطلان التصرف أن يذكر في العقد صراحة أو يستنتج من طبيعة محل العقد.</w:t>
      </w:r>
    </w:p>
    <w:p w14:paraId="1EF42913" w14:textId="77777777" w:rsidR="00BF09F7" w:rsidRPr="008C0FB5" w:rsidRDefault="00BF09F7" w:rsidP="00C35031">
      <w:pPr>
        <w:pStyle w:val="35"/>
        <w:rPr>
          <w:rFonts w:hint="cs"/>
          <w:rtl/>
        </w:rPr>
      </w:pPr>
      <w:r w:rsidRPr="008C0FB5">
        <w:rPr>
          <w:rFonts w:hint="cs"/>
          <w:rtl/>
        </w:rPr>
        <w:t xml:space="preserve">ومن صور الحالة الأولى ما ورد في البدائع من </w:t>
      </w:r>
      <w:proofErr w:type="gramStart"/>
      <w:r w:rsidRPr="008C0FB5">
        <w:rPr>
          <w:rFonts w:hint="cs"/>
          <w:rtl/>
        </w:rPr>
        <w:t>انه</w:t>
      </w:r>
      <w:r w:rsidRPr="008C0FB5">
        <w:rPr>
          <w:rFonts w:cs="Saihat" w:hint="cs"/>
          <w:vertAlign w:val="superscript"/>
          <w:rtl/>
        </w:rPr>
        <w:t>(</w:t>
      </w:r>
      <w:proofErr w:type="gramEnd"/>
      <w:r w:rsidRPr="008C0FB5">
        <w:rPr>
          <w:rStyle w:val="af0"/>
          <w:rFonts w:cs="Saihat"/>
          <w:sz w:val="30"/>
          <w:rtl/>
        </w:rPr>
        <w:footnoteReference w:id="94"/>
      </w:r>
      <w:r w:rsidRPr="008C0FB5">
        <w:rPr>
          <w:rFonts w:cs="Saihat" w:hint="cs"/>
          <w:vertAlign w:val="superscript"/>
          <w:rtl/>
        </w:rPr>
        <w:t>)</w:t>
      </w:r>
      <w:r w:rsidRPr="008C0FB5">
        <w:rPr>
          <w:rFonts w:hint="cs"/>
          <w:rtl/>
        </w:rPr>
        <w:t xml:space="preserve"> </w:t>
      </w:r>
    </w:p>
    <w:p w14:paraId="17D87068" w14:textId="77777777" w:rsidR="00BF09F7" w:rsidRPr="008C0FB5" w:rsidRDefault="00BF09F7" w:rsidP="00A613BA">
      <w:pPr>
        <w:pStyle w:val="afffffff1"/>
        <w:rPr>
          <w:rFonts w:hint="cs"/>
          <w:rtl/>
        </w:rPr>
      </w:pPr>
      <w:r w:rsidRPr="008C0FB5">
        <w:rPr>
          <w:rFonts w:hint="cs"/>
          <w:rtl/>
        </w:rPr>
        <w:t>لو اشترى قمرية على انها تصوت، أو طيراً على انه يجيء من مكان بعيد، أو كبشاً على انه نطاح، أو ديكاً على انه مقاتل، فالبيع فاسد عند أبي حنيفة (رح) وهو أحد الروايتين عن محمد (رح) لأن هذه الصفات يتلهى بها عادة والتلهي محظور، فكان شرطاً محظوراً فيوجب فساد البيع، ولو اشترى جارية على انها مغنية على سبيل الرغبة فيها، فالبيع فاسداً لأن التغنية صفة محظورة لكونها لهواً، فشرطها في البيع يوجب فساده، ولو اشترى جارية على انها مغنية على وجه إظهار العيب، جاز البيع، لأن هذا بيع بشرط البراءة عن هذا العيب، فصار كما لو باعها بشرط البراءة عن عيب آخر، فإن وجدها لا تغني لا خيار له، لأن الغناء في الجواري عيب، فصار كما لو اشترى على انه معيب فوجده سليماً</w:t>
      </w:r>
      <w:r w:rsidR="003E1E9A" w:rsidRPr="008C0FB5">
        <w:rPr>
          <w:rFonts w:cs="hashemi" w:hint="cs"/>
          <w:rtl/>
          <w:lang w:bidi="ar-IQ"/>
        </w:rPr>
        <w:t>.</w:t>
      </w:r>
    </w:p>
    <w:p w14:paraId="655D0997" w14:textId="77777777" w:rsidR="00BF09F7" w:rsidRPr="008C0FB5" w:rsidRDefault="00BF09F7" w:rsidP="00C35031">
      <w:pPr>
        <w:pStyle w:val="35"/>
        <w:rPr>
          <w:rFonts w:hint="cs"/>
          <w:rtl/>
        </w:rPr>
      </w:pPr>
      <w:r w:rsidRPr="008C0FB5">
        <w:rPr>
          <w:rFonts w:hint="cs"/>
          <w:rtl/>
        </w:rPr>
        <w:t xml:space="preserve">ومثال الصورة الثانية ما جاء في </w:t>
      </w:r>
      <w:proofErr w:type="gramStart"/>
      <w:r w:rsidRPr="008C0FB5">
        <w:rPr>
          <w:rFonts w:hint="cs"/>
          <w:rtl/>
        </w:rPr>
        <w:t>البدائع</w:t>
      </w:r>
      <w:r w:rsidRPr="008C0FB5">
        <w:rPr>
          <w:rFonts w:cs="Saihat" w:hint="cs"/>
          <w:vertAlign w:val="superscript"/>
          <w:rtl/>
        </w:rPr>
        <w:t>(</w:t>
      </w:r>
      <w:proofErr w:type="gramEnd"/>
      <w:r w:rsidRPr="008C0FB5">
        <w:rPr>
          <w:rStyle w:val="af0"/>
          <w:rFonts w:cs="Saihat"/>
          <w:sz w:val="30"/>
          <w:rtl/>
        </w:rPr>
        <w:footnoteReference w:id="95"/>
      </w:r>
      <w:r w:rsidRPr="008C0FB5">
        <w:rPr>
          <w:rFonts w:cs="Saihat" w:hint="cs"/>
          <w:vertAlign w:val="superscript"/>
          <w:rtl/>
        </w:rPr>
        <w:t>)</w:t>
      </w:r>
      <w:r w:rsidRPr="008C0FB5">
        <w:rPr>
          <w:rFonts w:hint="cs"/>
          <w:rtl/>
        </w:rPr>
        <w:t xml:space="preserve"> أيضاً </w:t>
      </w:r>
    </w:p>
    <w:p w14:paraId="3D45CE75" w14:textId="77777777" w:rsidR="00BF09F7" w:rsidRPr="008C0FB5" w:rsidRDefault="00BF09F7" w:rsidP="00A613BA">
      <w:pPr>
        <w:pStyle w:val="afffffff1"/>
        <w:rPr>
          <w:rFonts w:hint="cs"/>
          <w:rtl/>
        </w:rPr>
      </w:pPr>
      <w:r w:rsidRPr="008C0FB5">
        <w:rPr>
          <w:rFonts w:hint="cs"/>
          <w:rtl/>
        </w:rPr>
        <w:t>ومنها بيع السلاح من أهل الفتنة، وفي عساكرهم، لأن بيعه منهم من باب الإعانة على الإثم والعدوان، وأنهى منهما، ولا يكره بيع ما يتخذ منه السلاح كالحديد وغيره، لأنه ليس معداً للقتال فلا يتحقق معنى الإعانة، ونظيره بيع الخشب الذي يصلح لاتخاذ المزمار، فانه لا يكره وإن كره بيع المزامير</w:t>
      </w:r>
      <w:r w:rsidR="003E1E9A" w:rsidRPr="008C0FB5">
        <w:rPr>
          <w:rFonts w:cs="hashemi" w:hint="cs"/>
          <w:rtl/>
          <w:lang w:bidi="ar-IQ"/>
        </w:rPr>
        <w:t>.</w:t>
      </w:r>
    </w:p>
    <w:p w14:paraId="3A0E27DC" w14:textId="77777777" w:rsidR="00BF09F7" w:rsidRPr="008C0FB5" w:rsidRDefault="00BF09F7" w:rsidP="00C35031">
      <w:pPr>
        <w:pStyle w:val="35"/>
        <w:rPr>
          <w:rFonts w:hint="cs"/>
          <w:rtl/>
        </w:rPr>
      </w:pPr>
      <w:r w:rsidRPr="008C0FB5">
        <w:rPr>
          <w:rFonts w:hint="cs"/>
          <w:rtl/>
        </w:rPr>
        <w:t xml:space="preserve">وكذلك ما جاء فيه </w:t>
      </w:r>
      <w:proofErr w:type="gramStart"/>
      <w:r w:rsidRPr="008C0FB5">
        <w:rPr>
          <w:rFonts w:hint="cs"/>
          <w:rtl/>
        </w:rPr>
        <w:t>أيضاً</w:t>
      </w:r>
      <w:r w:rsidRPr="008C0FB5">
        <w:rPr>
          <w:rFonts w:cs="Saihat" w:hint="cs"/>
          <w:vertAlign w:val="superscript"/>
          <w:rtl/>
        </w:rPr>
        <w:t>(</w:t>
      </w:r>
      <w:proofErr w:type="gramEnd"/>
      <w:r w:rsidRPr="008C0FB5">
        <w:rPr>
          <w:rStyle w:val="af0"/>
          <w:rFonts w:cs="Saihat"/>
          <w:sz w:val="30"/>
          <w:rtl/>
        </w:rPr>
        <w:footnoteReference w:id="96"/>
      </w:r>
      <w:r w:rsidRPr="008C0FB5">
        <w:rPr>
          <w:rFonts w:cs="Saihat" w:hint="cs"/>
          <w:vertAlign w:val="superscript"/>
          <w:rtl/>
        </w:rPr>
        <w:t>)</w:t>
      </w:r>
      <w:r w:rsidRPr="008C0FB5">
        <w:rPr>
          <w:rFonts w:hint="cs"/>
          <w:rtl/>
        </w:rPr>
        <w:t xml:space="preserve"> </w:t>
      </w:r>
    </w:p>
    <w:p w14:paraId="4C1BF618" w14:textId="77777777" w:rsidR="00BF09F7" w:rsidRPr="008C0FB5" w:rsidRDefault="00BF09F7" w:rsidP="00A613BA">
      <w:pPr>
        <w:pStyle w:val="afffffff1"/>
        <w:rPr>
          <w:rFonts w:hint="cs"/>
          <w:rtl/>
        </w:rPr>
      </w:pPr>
      <w:r w:rsidRPr="008C0FB5">
        <w:rPr>
          <w:rFonts w:hint="cs"/>
          <w:rtl/>
        </w:rPr>
        <w:t>ويجوز بيع آلات الملاهي من البربط والطبل والمزمار والدف ونحو ذلك عند أبي حنيفة، لكنه يكره وعند أبي يوسف ومحمد لا ينعقد بيع هذه الأشياء لأنها آلات معدة للتلهي بها موضوعة للفسق والفساد فلا تكون أموالاً فلا يجوز بيعها، ولأبي حنيفة انه يمكن الانتفاع بها من جهة أخرى</w:t>
      </w:r>
      <w:r w:rsidR="003E1E9A" w:rsidRPr="008C0FB5">
        <w:rPr>
          <w:rFonts w:cs="hashemi" w:hint="cs"/>
          <w:rtl/>
          <w:lang w:bidi="ar-IQ"/>
        </w:rPr>
        <w:t>.</w:t>
      </w:r>
    </w:p>
    <w:p w14:paraId="67BCC205" w14:textId="77777777" w:rsidR="00BF09F7" w:rsidRPr="008C0FB5" w:rsidRDefault="00E634C5" w:rsidP="00C253D0">
      <w:pPr>
        <w:pStyle w:val="a1"/>
        <w:rPr>
          <w:rFonts w:hint="cs"/>
          <w:rtl/>
        </w:rPr>
      </w:pPr>
      <w:r w:rsidRPr="008C0FB5">
        <w:rPr>
          <w:rtl/>
        </w:rPr>
        <w:br w:type="page"/>
      </w:r>
      <w:bookmarkStart w:id="53" w:name="_Toc8643645"/>
      <w:r w:rsidR="00BF09F7" w:rsidRPr="008C0FB5">
        <w:rPr>
          <w:rFonts w:hint="cs"/>
          <w:rtl/>
        </w:rPr>
        <w:lastRenderedPageBreak/>
        <w:t>المطلب الثاني: معيار الباعث وضابطه في القانون الوضعي</w:t>
      </w:r>
      <w:bookmarkEnd w:id="53"/>
    </w:p>
    <w:p w14:paraId="4F6C28B6" w14:textId="77777777" w:rsidR="00BF09F7" w:rsidRPr="008C0FB5" w:rsidRDefault="00BF09F7" w:rsidP="00C253D0">
      <w:pPr>
        <w:pStyle w:val="48"/>
        <w:rPr>
          <w:rFonts w:hint="cs"/>
          <w:rtl/>
        </w:rPr>
      </w:pPr>
      <w:r w:rsidRPr="008C0FB5">
        <w:rPr>
          <w:rFonts w:hint="cs"/>
          <w:rtl/>
        </w:rPr>
        <w:t>إن الباعث غير المشروع لا يثير أية مشاكل إذا كان منصوصاً عليه في العقد، لأنه عندئذ يعتبر داخلاً في العقد، ويبطل العقد تبعاً لذلك.</w:t>
      </w:r>
    </w:p>
    <w:p w14:paraId="0362A15E" w14:textId="77777777" w:rsidR="00BF09F7" w:rsidRPr="008C0FB5" w:rsidRDefault="00BF09F7" w:rsidP="00C35031">
      <w:pPr>
        <w:pStyle w:val="35"/>
        <w:rPr>
          <w:rFonts w:hint="cs"/>
          <w:rtl/>
        </w:rPr>
      </w:pPr>
      <w:r w:rsidRPr="008C0FB5">
        <w:rPr>
          <w:rFonts w:hint="cs"/>
          <w:rtl/>
        </w:rPr>
        <w:t xml:space="preserve">إلا ان المشكلة تظهر عندما لا يكون الباعث منصوصاً عليه في العقد، لهذا اشترط لإيقاع جزاء البطلان على العقد الذي يهدف منه تحقيق الغاية غير المشروعة أن يكون كلاً من الطرفين على الأقل عالماً بهذه الغاية غير </w:t>
      </w:r>
      <w:proofErr w:type="gramStart"/>
      <w:r w:rsidRPr="008C0FB5">
        <w:rPr>
          <w:rFonts w:hint="cs"/>
          <w:rtl/>
        </w:rPr>
        <w:t>المشروعة</w:t>
      </w:r>
      <w:r w:rsidRPr="008C0FB5">
        <w:rPr>
          <w:rFonts w:cs="Saihat" w:hint="cs"/>
          <w:vertAlign w:val="superscript"/>
          <w:rtl/>
        </w:rPr>
        <w:t>(</w:t>
      </w:r>
      <w:proofErr w:type="gramEnd"/>
      <w:r w:rsidRPr="008C0FB5">
        <w:rPr>
          <w:rStyle w:val="af0"/>
          <w:rFonts w:cs="Saihat"/>
          <w:sz w:val="30"/>
          <w:rtl/>
        </w:rPr>
        <w:footnoteReference w:id="97"/>
      </w:r>
      <w:r w:rsidRPr="008C0FB5">
        <w:rPr>
          <w:rFonts w:cs="Saihat" w:hint="cs"/>
          <w:vertAlign w:val="superscript"/>
          <w:rtl/>
        </w:rPr>
        <w:t>)</w:t>
      </w:r>
      <w:r w:rsidRPr="008C0FB5">
        <w:rPr>
          <w:rFonts w:hint="cs"/>
          <w:rtl/>
        </w:rPr>
        <w:t>.</w:t>
      </w:r>
    </w:p>
    <w:p w14:paraId="79D53F0E" w14:textId="77777777" w:rsidR="00BF09F7" w:rsidRPr="008C0FB5" w:rsidRDefault="00BF09F7" w:rsidP="00C35031">
      <w:pPr>
        <w:pStyle w:val="35"/>
        <w:rPr>
          <w:rFonts w:hint="cs"/>
          <w:rtl/>
        </w:rPr>
      </w:pPr>
      <w:r w:rsidRPr="008C0FB5">
        <w:rPr>
          <w:rFonts w:hint="cs"/>
          <w:rtl/>
        </w:rPr>
        <w:t xml:space="preserve">إلا ان بعض الفقهاء لا يكتفي بدرجة العلم فقد لإعمال الباعث غير المشروع بل يتطلب المساهمة من </w:t>
      </w:r>
      <w:proofErr w:type="gramStart"/>
      <w:r w:rsidRPr="008C0FB5">
        <w:rPr>
          <w:rFonts w:hint="cs"/>
          <w:rtl/>
        </w:rPr>
        <w:t>الطرفين</w:t>
      </w:r>
      <w:r w:rsidRPr="008C0FB5">
        <w:rPr>
          <w:rFonts w:cs="Saihat" w:hint="cs"/>
          <w:vertAlign w:val="superscript"/>
          <w:rtl/>
        </w:rPr>
        <w:t>(</w:t>
      </w:r>
      <w:proofErr w:type="gramEnd"/>
      <w:r w:rsidRPr="008C0FB5">
        <w:rPr>
          <w:rStyle w:val="af0"/>
          <w:rFonts w:cs="Saihat"/>
          <w:sz w:val="30"/>
          <w:rtl/>
        </w:rPr>
        <w:footnoteReference w:id="98"/>
      </w:r>
      <w:r w:rsidRPr="008C0FB5">
        <w:rPr>
          <w:rFonts w:cs="Saihat" w:hint="cs"/>
          <w:vertAlign w:val="superscript"/>
          <w:rtl/>
        </w:rPr>
        <w:t>)</w:t>
      </w:r>
      <w:r w:rsidRPr="008C0FB5">
        <w:rPr>
          <w:rFonts w:hint="cs"/>
          <w:rtl/>
        </w:rPr>
        <w:t>.</w:t>
      </w:r>
    </w:p>
    <w:p w14:paraId="04E0E6DD" w14:textId="77777777" w:rsidR="00BF09F7" w:rsidRPr="008C0FB5" w:rsidRDefault="00BF09F7" w:rsidP="00C35031">
      <w:pPr>
        <w:pStyle w:val="35"/>
        <w:rPr>
          <w:rFonts w:hint="cs"/>
          <w:rtl/>
        </w:rPr>
      </w:pPr>
      <w:r w:rsidRPr="008C0FB5">
        <w:rPr>
          <w:rFonts w:hint="cs"/>
          <w:rtl/>
        </w:rPr>
        <w:t>أما بالنسبة لأنصار النظرية الذاتية للسبب فقد انقسموا بين مرتبتي العلم والمساهمة، وفيما يلي نضرب مثالاً يوضح هذه المراتب الثلاث:</w:t>
      </w:r>
    </w:p>
    <w:p w14:paraId="4305599E" w14:textId="77777777" w:rsidR="00BF09F7" w:rsidRPr="008C0FB5" w:rsidRDefault="00BF09F7" w:rsidP="00C35031">
      <w:pPr>
        <w:pStyle w:val="35"/>
        <w:rPr>
          <w:rFonts w:hint="cs"/>
          <w:rtl/>
        </w:rPr>
      </w:pPr>
      <w:r w:rsidRPr="008C0FB5">
        <w:rPr>
          <w:rFonts w:hint="cs"/>
          <w:rtl/>
        </w:rPr>
        <w:t>شخص يقترض نقوداً من آخر ليقامر بها، فالمقرض قد يكون جاهلاً لغرض المقترض، وفي هذه الحالة لا يعتد بالباعث الذي دفع المقترض إلى التعاقد، وقد يكون المقرض صديقاً للمقترض عالماً بقصده دون أن يقصد بالإقراض تمكين المقترض من المقامرة، فهذه مرتبة العلم، وقد يكون المقرض مرابياً يستثمر ماله في إقراض المقامرين، فيكون قد قصد إلى تمكين المقترض من المقامرة، وهذه هي مرتبة المساهمة، وقد يكون المقرض هو الشخص الذي يقامر معه المقترض، فيتفقان على القرض لاستمرار في المقامرة وهذه هي مرتبة الاتفاق.</w:t>
      </w:r>
    </w:p>
    <w:p w14:paraId="3F4BD81E" w14:textId="77777777" w:rsidR="00BF09F7" w:rsidRPr="008C0FB5" w:rsidRDefault="00BF09F7" w:rsidP="00C35031">
      <w:pPr>
        <w:pStyle w:val="35"/>
        <w:rPr>
          <w:rFonts w:hint="cs"/>
          <w:rtl/>
        </w:rPr>
      </w:pPr>
      <w:r w:rsidRPr="008C0FB5">
        <w:rPr>
          <w:rFonts w:hint="cs"/>
          <w:rtl/>
        </w:rPr>
        <w:t>ويبدو ان اعتداد نظرية الباعث بمرتبتي العلم والمساهمة لم يكن على صعيد واحد في كل التصرفات الإرادية، فقد ميزوا في ذلك بين المعاوضات والتبرعات</w:t>
      </w:r>
      <w:r w:rsidRPr="008C0FB5">
        <w:rPr>
          <w:rFonts w:cs="Saihat" w:hint="cs"/>
          <w:vertAlign w:val="superscript"/>
          <w:rtl/>
        </w:rPr>
        <w:t>(</w:t>
      </w:r>
      <w:r w:rsidRPr="008C0FB5">
        <w:rPr>
          <w:rStyle w:val="af0"/>
          <w:rFonts w:cs="Saihat"/>
          <w:sz w:val="30"/>
          <w:rtl/>
        </w:rPr>
        <w:footnoteReference w:id="99"/>
      </w:r>
      <w:r w:rsidRPr="008C0FB5">
        <w:rPr>
          <w:rFonts w:cs="Saihat" w:hint="cs"/>
          <w:vertAlign w:val="superscript"/>
          <w:rtl/>
        </w:rPr>
        <w:t>)</w:t>
      </w:r>
      <w:r w:rsidRPr="008C0FB5">
        <w:rPr>
          <w:rFonts w:hint="cs"/>
          <w:rtl/>
        </w:rPr>
        <w:t>، اشترطوا في المعاوضات مرتبة أعلى منها في التبرعات، من حيث العلم بالبواعث، وان اختلفوا في تحديد هذه المرتبة، فبينما يرى جوسران كفاية مرتبة العلم في المعاوضات حتى يكون في هذا العلم استقراراً للتعامل فان بوجيزان ذهب إلى وجوب الوصول على مرتبة المساهمة، ذلك ان إرادة كل من المتعاقدين في المعاوضات تقوم بدور أساسي في تكوين العقد ومن ثم وجب أن تساهم كلتا الإرادتين في الباعث الذي دفع إلى التعاقد مساهمة إيجابية وان تتعاون في سبيل تحقيق الغرض غير المشروع، أما في التبرعات فيرى جوسران انه لا حاجة لمرتبة العلم في عقود التبرعات ذلك ان إرادة المتبرع هي التي تسيطر على التصرف سواء تم هذا التصرف بتقابل الإرادتين كالهبة أو بإرادة واحدة كالوصية، ويتفق بوجيزان مع جوسران على ان إرادة المتبرع وحدها هي الأساس في التصرف، إلا انه يذهب إلى اشتراط مرتبة العلم بالباعث لاستقرار التعامل</w:t>
      </w:r>
      <w:r w:rsidRPr="008C0FB5">
        <w:rPr>
          <w:rFonts w:cs="Saihat" w:hint="cs"/>
          <w:vertAlign w:val="superscript"/>
          <w:rtl/>
        </w:rPr>
        <w:t>(</w:t>
      </w:r>
      <w:r w:rsidRPr="008C0FB5">
        <w:rPr>
          <w:rStyle w:val="af0"/>
          <w:rFonts w:cs="Saihat"/>
          <w:sz w:val="30"/>
          <w:rtl/>
        </w:rPr>
        <w:footnoteReference w:id="100"/>
      </w:r>
      <w:r w:rsidRPr="008C0FB5">
        <w:rPr>
          <w:rFonts w:cs="Saihat" w:hint="cs"/>
          <w:vertAlign w:val="superscript"/>
          <w:rtl/>
        </w:rPr>
        <w:t>)</w:t>
      </w:r>
      <w:r w:rsidRPr="008C0FB5">
        <w:rPr>
          <w:rFonts w:hint="cs"/>
          <w:rtl/>
        </w:rPr>
        <w:t>.</w:t>
      </w:r>
    </w:p>
    <w:p w14:paraId="5BAEC8F2" w14:textId="77777777" w:rsidR="00BF09F7" w:rsidRPr="008C0FB5" w:rsidRDefault="00BF09F7" w:rsidP="00C35031">
      <w:pPr>
        <w:pStyle w:val="35"/>
        <w:rPr>
          <w:rFonts w:hint="cs"/>
          <w:rtl/>
        </w:rPr>
      </w:pPr>
      <w:r w:rsidRPr="008C0FB5">
        <w:rPr>
          <w:rFonts w:hint="cs"/>
          <w:rtl/>
        </w:rPr>
        <w:t xml:space="preserve">وبقي أخيراً أن نذكر ان اشتراط العلم هو شرط مقرر ضماناً لاستقرار المعاملات وحماية المتعاقد حسن النية خشية أن يفاجئ بالبطلان للباعث غير المشروع الذي لا علاقة له به ولذلك </w:t>
      </w:r>
      <w:r w:rsidRPr="008C0FB5">
        <w:rPr>
          <w:rFonts w:hint="cs"/>
          <w:rtl/>
        </w:rPr>
        <w:lastRenderedPageBreak/>
        <w:t>فان المتعاقد حسن النية إذا كان هو الذي تمسك بالبطلان فلا مجال لإعمال هذا الشرط.</w:t>
      </w:r>
    </w:p>
    <w:p w14:paraId="5B5FC1C8" w14:textId="77777777" w:rsidR="00BF09F7" w:rsidRPr="008C0FB5" w:rsidRDefault="00BF09F7" w:rsidP="00C35031">
      <w:pPr>
        <w:pStyle w:val="35"/>
        <w:rPr>
          <w:rFonts w:hint="cs"/>
          <w:rtl/>
        </w:rPr>
      </w:pPr>
      <w:r w:rsidRPr="008C0FB5">
        <w:rPr>
          <w:rFonts w:hint="cs"/>
          <w:rtl/>
        </w:rPr>
        <w:t xml:space="preserve">هذا الجدل الفقهي الكبير الذي ثار بشأن شروط إعمال الباعث كان نتيجة لإغفال القوانين تنظيم الباعث تنظيماً قانونياً مما جعل الآراء تتضارب بشأن الشروط الواجب توافرها لإعمال الباعث، ولكن حسب الرأي الراجح لدينا هو ان الباعث غير المشروع لا يجوز الاعتداد به لإبطال العقد إلا إذا كان الطرف الآخر عالماً به أو كان بإمكانه أن يعلم </w:t>
      </w:r>
      <w:proofErr w:type="gramStart"/>
      <w:r w:rsidRPr="008C0FB5">
        <w:rPr>
          <w:rFonts w:hint="cs"/>
          <w:rtl/>
        </w:rPr>
        <w:t>به</w:t>
      </w:r>
      <w:r w:rsidRPr="008C0FB5">
        <w:rPr>
          <w:rFonts w:cs="Saihat" w:hint="cs"/>
          <w:vertAlign w:val="superscript"/>
          <w:rtl/>
        </w:rPr>
        <w:t>(</w:t>
      </w:r>
      <w:proofErr w:type="gramEnd"/>
      <w:r w:rsidRPr="008C0FB5">
        <w:rPr>
          <w:rStyle w:val="af0"/>
          <w:rFonts w:cs="Saihat"/>
          <w:sz w:val="30"/>
          <w:rtl/>
        </w:rPr>
        <w:footnoteReference w:id="101"/>
      </w:r>
      <w:r w:rsidRPr="008C0FB5">
        <w:rPr>
          <w:rFonts w:cs="Saihat" w:hint="cs"/>
          <w:vertAlign w:val="superscript"/>
          <w:rtl/>
        </w:rPr>
        <w:t>)</w:t>
      </w:r>
      <w:r w:rsidRPr="008C0FB5">
        <w:rPr>
          <w:rFonts w:hint="cs"/>
          <w:rtl/>
        </w:rPr>
        <w:t xml:space="preserve">. وهذا ما اوضحته محكمة التمييز في أحد قراراتها الصادر عام 1967 إذ جاء فيه </w:t>
      </w:r>
    </w:p>
    <w:p w14:paraId="0399F5A5" w14:textId="77777777" w:rsidR="00BF09F7" w:rsidRPr="008C0FB5" w:rsidRDefault="00BF09F7" w:rsidP="00A613BA">
      <w:pPr>
        <w:pStyle w:val="afffffff1"/>
        <w:rPr>
          <w:rFonts w:hint="cs"/>
          <w:rtl/>
        </w:rPr>
      </w:pPr>
      <w:r w:rsidRPr="008C0FB5">
        <w:rPr>
          <w:rFonts w:hint="cs"/>
          <w:rtl/>
        </w:rPr>
        <w:t>الصحيح في القانون ان السبب هو الباعث على التعاقد ولا يعتد بالباعث إلا إذا كان متفقاً عليه بين المتعاقدين فإذا كان الباعث الذي دفع المشتري إلى التعاقد غير مشروع ولا يعلمه البائع فلا يعتد به ويكون العقد صحيحاً اعتباراً بالإرادة الظاهرة، فلا يعتد بالباعث الذي دفع الشركة المميزة إلى التعاقد مادام هذا الباعث مجهولاً من الشركة البائعة وإلا استطاع كل متعاقد أن يتخلص من التزامه بدعوى الباعث له على التعاقد وهو أمر مستكن في خفايا الضمير</w:t>
      </w:r>
      <w:proofErr w:type="gramStart"/>
      <w:r w:rsidRPr="008C0FB5">
        <w:rPr>
          <w:rFonts w:hint="cs"/>
          <w:rtl/>
        </w:rPr>
        <w:t>...</w:t>
      </w:r>
      <w:r w:rsidRPr="008C0FB5">
        <w:rPr>
          <w:rFonts w:hint="cs"/>
          <w:szCs w:val="30"/>
          <w:vertAlign w:val="superscript"/>
          <w:rtl/>
        </w:rPr>
        <w:t>(</w:t>
      </w:r>
      <w:proofErr w:type="gramEnd"/>
      <w:r w:rsidRPr="008C0FB5">
        <w:rPr>
          <w:rStyle w:val="af0"/>
          <w:sz w:val="30"/>
          <w:szCs w:val="30"/>
          <w:rtl/>
        </w:rPr>
        <w:footnoteReference w:id="102"/>
      </w:r>
      <w:r w:rsidRPr="008C0FB5">
        <w:rPr>
          <w:rFonts w:hint="cs"/>
          <w:szCs w:val="30"/>
          <w:vertAlign w:val="superscript"/>
          <w:rtl/>
        </w:rPr>
        <w:t>)</w:t>
      </w:r>
      <w:r w:rsidRPr="008C0FB5">
        <w:rPr>
          <w:rFonts w:hint="cs"/>
          <w:rtl/>
        </w:rPr>
        <w:t>.</w:t>
      </w:r>
    </w:p>
    <w:p w14:paraId="44716234" w14:textId="77777777" w:rsidR="009A1071" w:rsidRPr="008C0FB5" w:rsidRDefault="00BF09F7" w:rsidP="00BF09F7">
      <w:pPr>
        <w:pStyle w:val="35"/>
        <w:rPr>
          <w:rtl/>
        </w:rPr>
      </w:pPr>
      <w:r w:rsidRPr="008C0FB5">
        <w:rPr>
          <w:rFonts w:hint="cs"/>
          <w:rtl/>
        </w:rPr>
        <w:t xml:space="preserve">وبهذا نلاحظ ان اشتراط علم الطرف الآخر أو إمكانية علمه هو الشرط الراجح لإعمال نظرية الباعث. وكان من الأجدر بالمشرع العراقي وما يطابقه من القوانين كالمصري والسوري والأردني، اشتراط العلم أو إمكانية العلم كشرط لإعمال نظرية الباعث وتضمينه بنص مستقل على غرار ما فعلوا بالنسبة للغلط، فقد اشترطوا لمن يتمسك بالغلط أن يثبت ان الطرف الآخر كان على علم به أو كان من السهل عليه أن يعلم، لإعمال نظرية الغلط وذلك في المادة (119 مدني/ عراقي)، حرصاً منه على تنظيم المعاملات واستقرارها وحماية للنظام العام والآداب العامة وعدم تركها مفتوحة أمام المنازعات الفقهية والقضائية، وبهذا نكون قد اختتمنا هذا المطلب لننتقل لبحث حالة إثبات الباعث. </w:t>
      </w:r>
      <w:r w:rsidR="00990BBF" w:rsidRPr="008C0FB5">
        <w:rPr>
          <w:rtl/>
        </w:rPr>
        <w:t xml:space="preserve"> </w:t>
      </w:r>
    </w:p>
    <w:p w14:paraId="4CD1459F" w14:textId="77777777" w:rsidR="005C08F2" w:rsidRDefault="005C08F2" w:rsidP="00BF09F7">
      <w:pPr>
        <w:pStyle w:val="affffffd"/>
        <w:rPr>
          <w:rtl/>
        </w:rPr>
        <w:sectPr w:rsidR="005C08F2" w:rsidSect="00481D39">
          <w:footnotePr>
            <w:numRestart w:val="eachPage"/>
          </w:footnotePr>
          <w:type w:val="oddPage"/>
          <w:pgSz w:w="11906" w:h="16838" w:code="9"/>
          <w:pgMar w:top="1701" w:right="1701" w:bottom="1701" w:left="1418" w:header="709" w:footer="1418" w:gutter="0"/>
          <w:cols w:space="708"/>
          <w:titlePg/>
          <w:bidi/>
          <w:rtlGutter/>
          <w:docGrid w:linePitch="360"/>
        </w:sectPr>
      </w:pPr>
    </w:p>
    <w:p w14:paraId="1368D1B6" w14:textId="77777777" w:rsidR="00BF09F7" w:rsidRPr="008C0FB5" w:rsidRDefault="00BF09F7" w:rsidP="00BF09F7">
      <w:pPr>
        <w:pStyle w:val="affffffd"/>
        <w:rPr>
          <w:rtl/>
        </w:rPr>
        <w:sectPr w:rsidR="00BF09F7" w:rsidRPr="008C0FB5" w:rsidSect="005C08F2">
          <w:footnotePr>
            <w:numRestart w:val="eachPage"/>
          </w:footnotePr>
          <w:pgSz w:w="11906" w:h="16838" w:code="9"/>
          <w:pgMar w:top="1701" w:right="1701" w:bottom="1701" w:left="1418" w:header="709" w:footer="1418" w:gutter="0"/>
          <w:cols w:space="708"/>
          <w:titlePg/>
          <w:bidi/>
          <w:rtlGutter/>
          <w:docGrid w:linePitch="360"/>
        </w:sectPr>
      </w:pPr>
    </w:p>
    <w:p w14:paraId="3741EAA4" w14:textId="1D7C4805" w:rsidR="009F476E" w:rsidRPr="008C0FB5" w:rsidRDefault="007C3C34" w:rsidP="009F476E">
      <w:pPr>
        <w:pStyle w:val="afffffff0"/>
        <w:rPr>
          <w:rFonts w:hint="cs"/>
          <w:color w:val="auto"/>
          <w:rtl/>
        </w:rPr>
      </w:pPr>
      <w:r w:rsidRPr="008C0FB5">
        <w:rPr>
          <w:noProof/>
          <w:color w:val="auto"/>
          <w:rtl/>
        </w:rPr>
        <w:lastRenderedPageBreak/>
        <w:drawing>
          <wp:anchor distT="0" distB="0" distL="114300" distR="114300" simplePos="0" relativeHeight="251661824" behindDoc="1" locked="0" layoutInCell="1" allowOverlap="1" wp14:anchorId="5C9687D0" wp14:editId="5406A1DC">
            <wp:simplePos x="0" y="0"/>
            <wp:positionH relativeFrom="margin">
              <wp:posOffset>13970</wp:posOffset>
            </wp:positionH>
            <wp:positionV relativeFrom="page">
              <wp:posOffset>1009650</wp:posOffset>
            </wp:positionV>
            <wp:extent cx="5629910" cy="8601075"/>
            <wp:effectExtent l="0" t="0" r="0" b="0"/>
            <wp:wrapNone/>
            <wp:docPr id="175" name="Picture 29" descr="0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_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910"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35FE7" w14:textId="77777777" w:rsidR="009F476E" w:rsidRDefault="009F476E" w:rsidP="009F476E">
      <w:pPr>
        <w:pStyle w:val="20"/>
        <w:rPr>
          <w:rFonts w:hint="cs"/>
          <w:rtl/>
        </w:rPr>
      </w:pPr>
    </w:p>
    <w:p w14:paraId="26132851" w14:textId="77777777" w:rsidR="00F63793" w:rsidRDefault="00F63793" w:rsidP="009F476E">
      <w:pPr>
        <w:pStyle w:val="20"/>
        <w:rPr>
          <w:rFonts w:hint="cs"/>
          <w:rtl/>
        </w:rPr>
      </w:pPr>
    </w:p>
    <w:p w14:paraId="47FE6798" w14:textId="77777777" w:rsidR="00F63793" w:rsidRPr="008C0FB5" w:rsidRDefault="00F63793" w:rsidP="009F476E">
      <w:pPr>
        <w:pStyle w:val="20"/>
        <w:rPr>
          <w:rFonts w:hint="cs"/>
          <w:rtl/>
        </w:rPr>
      </w:pPr>
    </w:p>
    <w:p w14:paraId="05D90698" w14:textId="77777777" w:rsidR="009F476E" w:rsidRPr="008C0FB5" w:rsidRDefault="009F476E" w:rsidP="00E634C5">
      <w:pPr>
        <w:pStyle w:val="20"/>
      </w:pPr>
      <w:bookmarkStart w:id="54" w:name="_Toc8643646"/>
      <w:r w:rsidRPr="008C0FB5">
        <w:rPr>
          <w:rtl/>
        </w:rPr>
        <w:t>الفصل الثاني</w:t>
      </w:r>
      <w:bookmarkEnd w:id="54"/>
    </w:p>
    <w:p w14:paraId="71DE968F" w14:textId="77777777" w:rsidR="009F476E" w:rsidRPr="008C0FB5" w:rsidRDefault="009F476E" w:rsidP="0094067A">
      <w:pPr>
        <w:pStyle w:val="20"/>
        <w:rPr>
          <w:sz w:val="72"/>
          <w:rtl/>
        </w:rPr>
      </w:pPr>
      <w:bookmarkStart w:id="55" w:name="_Toc8643647"/>
      <w:r w:rsidRPr="008C0FB5">
        <w:rPr>
          <w:rtl/>
        </w:rPr>
        <w:t>أحكـام نظــــــرية الباعــــث</w:t>
      </w:r>
      <w:bookmarkEnd w:id="55"/>
    </w:p>
    <w:p w14:paraId="0342E5A3" w14:textId="77777777" w:rsidR="009F476E" w:rsidRPr="008C0FB5" w:rsidRDefault="009F476E" w:rsidP="009F476E">
      <w:pPr>
        <w:pStyle w:val="35"/>
        <w:rPr>
          <w:rtl/>
        </w:rPr>
      </w:pPr>
    </w:p>
    <w:p w14:paraId="38705118" w14:textId="77777777" w:rsidR="009F476E" w:rsidRPr="00241ACF" w:rsidRDefault="009F476E" w:rsidP="009F476E">
      <w:pPr>
        <w:pStyle w:val="35"/>
        <w:rPr>
          <w:color w:val="FFFFFF"/>
          <w:rtl/>
        </w:rPr>
      </w:pPr>
      <w:r w:rsidRPr="00241ACF">
        <w:rPr>
          <w:color w:val="FFFFFF"/>
          <w:rtl/>
        </w:rPr>
        <w:t xml:space="preserve">ويتضمن المباحث التالية: </w:t>
      </w:r>
    </w:p>
    <w:p w14:paraId="47E3C602" w14:textId="77777777" w:rsidR="009F476E" w:rsidRPr="00241ACF" w:rsidRDefault="009F476E" w:rsidP="009F476E">
      <w:pPr>
        <w:pStyle w:val="1f1"/>
        <w:ind w:left="340"/>
        <w:jc w:val="left"/>
        <w:rPr>
          <w:color w:val="FFFFFF"/>
          <w:rtl/>
          <w:lang w:bidi="ar-IQ"/>
        </w:rPr>
      </w:pPr>
      <w:r w:rsidRPr="00241ACF">
        <w:rPr>
          <w:color w:val="FFFFFF"/>
          <w:rtl/>
          <w:lang w:bidi="ar-IQ"/>
        </w:rPr>
        <w:t>المبحث الاول: تعريف مصطلحات البحث والمفاهيم المرتبطة به</w:t>
      </w:r>
    </w:p>
    <w:p w14:paraId="083025BA" w14:textId="77777777" w:rsidR="009F476E" w:rsidRPr="00241ACF" w:rsidRDefault="009F476E" w:rsidP="009F476E">
      <w:pPr>
        <w:pStyle w:val="1f1"/>
        <w:ind w:left="340"/>
        <w:jc w:val="left"/>
        <w:rPr>
          <w:color w:val="FFFFFF"/>
          <w:rtl/>
          <w:lang w:bidi="ar-IQ"/>
        </w:rPr>
      </w:pPr>
      <w:r w:rsidRPr="00241ACF">
        <w:rPr>
          <w:color w:val="FFFFFF"/>
          <w:rtl/>
          <w:lang w:bidi="ar-IQ"/>
        </w:rPr>
        <w:t>المبحث الثاني: الايمان والكفر في مدرسة أهل البيت</w:t>
      </w:r>
      <w:r w:rsidRPr="00241ACF">
        <w:rPr>
          <w:rFonts w:ascii="Abo-thar" w:hAnsi="Abo-thar"/>
          <w:color w:val="FFFFFF"/>
          <w:lang w:bidi="ar-IQ"/>
        </w:rPr>
        <w:t></w:t>
      </w:r>
      <w:r w:rsidRPr="00241ACF">
        <w:rPr>
          <w:color w:val="FFFFFF"/>
          <w:rtl/>
          <w:lang w:bidi="ar-IQ"/>
        </w:rPr>
        <w:t xml:space="preserve"> ومدرسة الخلفاء</w:t>
      </w:r>
    </w:p>
    <w:p w14:paraId="3A2412BC" w14:textId="77777777" w:rsidR="009F476E" w:rsidRPr="00241ACF" w:rsidRDefault="009F476E" w:rsidP="009F476E">
      <w:pPr>
        <w:pStyle w:val="1f1"/>
        <w:ind w:left="340"/>
        <w:jc w:val="left"/>
        <w:rPr>
          <w:color w:val="FFFFFF"/>
          <w:rtl/>
          <w:lang w:bidi="ar-IQ"/>
        </w:rPr>
      </w:pPr>
      <w:r w:rsidRPr="00241ACF">
        <w:rPr>
          <w:color w:val="FFFFFF"/>
          <w:rtl/>
          <w:lang w:bidi="ar-IQ"/>
        </w:rPr>
        <w:t>المبحث الثالث: أنواع الكفر والتكفير</w:t>
      </w:r>
    </w:p>
    <w:p w14:paraId="14EF78B0" w14:textId="77777777" w:rsidR="009F476E" w:rsidRPr="00241ACF" w:rsidRDefault="009F476E" w:rsidP="009F476E">
      <w:pPr>
        <w:pStyle w:val="1f1"/>
        <w:ind w:left="340"/>
        <w:jc w:val="left"/>
        <w:rPr>
          <w:color w:val="FFFFFF"/>
          <w:rtl/>
          <w:lang w:bidi="ar-IQ"/>
        </w:rPr>
      </w:pPr>
      <w:r w:rsidRPr="00241ACF">
        <w:rPr>
          <w:color w:val="FFFFFF"/>
          <w:rtl/>
          <w:lang w:bidi="ar-IQ"/>
        </w:rPr>
        <w:t xml:space="preserve">المبحث الرابع: طُرق مرجعية الصحابة لفهم القرآن وأثارها على مباني التيارات التكفيرية </w:t>
      </w:r>
    </w:p>
    <w:p w14:paraId="41F5A8DE" w14:textId="77777777" w:rsidR="009F476E" w:rsidRPr="00241ACF" w:rsidRDefault="009F476E" w:rsidP="009F476E">
      <w:pPr>
        <w:pStyle w:val="1f1"/>
        <w:ind w:left="340"/>
        <w:jc w:val="left"/>
        <w:rPr>
          <w:rFonts w:hint="cs"/>
          <w:color w:val="FFFFFF"/>
          <w:rtl/>
          <w:lang w:bidi="ar-IQ"/>
        </w:rPr>
      </w:pPr>
      <w:r w:rsidRPr="00241ACF">
        <w:rPr>
          <w:color w:val="FFFFFF"/>
          <w:rtl/>
          <w:lang w:bidi="ar-IQ"/>
        </w:rPr>
        <w:t>المبحث الخامس: أنواع مرجعية الصحابة في فهم القرآن</w:t>
      </w:r>
    </w:p>
    <w:p w14:paraId="085C1795" w14:textId="77777777" w:rsidR="009F476E" w:rsidRPr="00241ACF" w:rsidRDefault="009F476E" w:rsidP="00BF09F7">
      <w:pPr>
        <w:pStyle w:val="affffffd"/>
        <w:rPr>
          <w:rFonts w:cs="Times New Roman" w:hint="cs"/>
          <w:color w:val="FFFFFF"/>
          <w:rtl/>
        </w:rPr>
      </w:pPr>
    </w:p>
    <w:p w14:paraId="500154D1" w14:textId="77777777" w:rsidR="00E634C5" w:rsidRPr="008C0FB5" w:rsidRDefault="00E634C5" w:rsidP="00BF09F7">
      <w:pPr>
        <w:pStyle w:val="affffffd"/>
        <w:rPr>
          <w:rFonts w:cs="Times New Roman" w:hint="cs"/>
          <w:rtl/>
        </w:rPr>
      </w:pPr>
    </w:p>
    <w:p w14:paraId="5E1FBDC6" w14:textId="77777777" w:rsidR="00E634C5" w:rsidRPr="008C0FB5" w:rsidRDefault="00E634C5" w:rsidP="00BF09F7">
      <w:pPr>
        <w:pStyle w:val="affffffd"/>
        <w:rPr>
          <w:rFonts w:cs="Times New Roman"/>
          <w:rtl/>
        </w:rPr>
        <w:sectPr w:rsidR="00E634C5" w:rsidRPr="008C0FB5" w:rsidSect="00E634C5">
          <w:headerReference w:type="default" r:id="rId23"/>
          <w:footnotePr>
            <w:numRestart w:val="eachPage"/>
          </w:footnotePr>
          <w:pgSz w:w="11906" w:h="16838" w:code="9"/>
          <w:pgMar w:top="1701" w:right="1701" w:bottom="1701" w:left="1418" w:header="709" w:footer="1418" w:gutter="0"/>
          <w:cols w:space="708"/>
          <w:titlePg/>
          <w:bidi/>
          <w:rtlGutter/>
          <w:docGrid w:linePitch="360"/>
        </w:sectPr>
      </w:pPr>
    </w:p>
    <w:p w14:paraId="02C04BB2" w14:textId="77777777" w:rsidR="00172A4D" w:rsidRPr="008C0FB5" w:rsidRDefault="00172A4D" w:rsidP="00BF09F7">
      <w:pPr>
        <w:pStyle w:val="affffffd"/>
        <w:rPr>
          <w:rFonts w:cs="Times New Roman"/>
          <w:rtl/>
        </w:rPr>
      </w:pPr>
    </w:p>
    <w:p w14:paraId="26249B52" w14:textId="77777777" w:rsidR="009A1071" w:rsidRPr="008C0FB5" w:rsidRDefault="009A1071" w:rsidP="00155784">
      <w:pPr>
        <w:pStyle w:val="35"/>
        <w:rPr>
          <w:rtl/>
        </w:rPr>
      </w:pPr>
    </w:p>
    <w:p w14:paraId="65676059" w14:textId="77777777" w:rsidR="00E634C5" w:rsidRPr="008C0FB5" w:rsidRDefault="00E634C5" w:rsidP="0092249A">
      <w:pPr>
        <w:pStyle w:val="35"/>
        <w:rPr>
          <w:rFonts w:hint="cs"/>
          <w:rtl/>
        </w:rPr>
      </w:pPr>
    </w:p>
    <w:p w14:paraId="49E812B8" w14:textId="77777777" w:rsidR="00E634C5" w:rsidRPr="008C0FB5" w:rsidRDefault="00E634C5" w:rsidP="0092249A">
      <w:pPr>
        <w:pStyle w:val="35"/>
        <w:rPr>
          <w:rFonts w:hint="cs"/>
          <w:rtl/>
        </w:rPr>
      </w:pPr>
    </w:p>
    <w:p w14:paraId="6722F542" w14:textId="77777777" w:rsidR="00E634C5" w:rsidRPr="008C0FB5" w:rsidRDefault="00E634C5" w:rsidP="0092249A">
      <w:pPr>
        <w:pStyle w:val="35"/>
        <w:rPr>
          <w:rFonts w:hint="cs"/>
          <w:rtl/>
        </w:rPr>
      </w:pPr>
    </w:p>
    <w:p w14:paraId="4327CBB4" w14:textId="77777777" w:rsidR="00E634C5" w:rsidRPr="008C0FB5" w:rsidRDefault="00E634C5" w:rsidP="0092249A">
      <w:pPr>
        <w:pStyle w:val="35"/>
        <w:rPr>
          <w:rFonts w:hint="cs"/>
          <w:rtl/>
        </w:rPr>
      </w:pPr>
    </w:p>
    <w:p w14:paraId="68BE935A" w14:textId="77777777" w:rsidR="009F476E" w:rsidRPr="008C0FB5" w:rsidRDefault="009F476E" w:rsidP="0092249A">
      <w:pPr>
        <w:pStyle w:val="35"/>
        <w:rPr>
          <w:rFonts w:hint="cs"/>
          <w:rtl/>
        </w:rPr>
      </w:pPr>
      <w:r w:rsidRPr="008C0FB5">
        <w:rPr>
          <w:rFonts w:hint="cs"/>
          <w:rtl/>
        </w:rPr>
        <w:t>إن إغفال تنظيم نظرية الباعث تنظيماً دقيقاً أدى إلى إثارة الخلافات العديدة بشأنه، ذلك ان أحكامه بقيت مجرد افتراضات فقهية إلا ان ما يمكن الاعتماد عليه في أغلب الأحيان هو ما يطبقه القضاء لأن القضاء فقه عملي ينظر إلى الجوانب العملية في التطبيق، فقد ثارت الخلافات بشأن المعيار الذي يمكن الاعتماد عليه للمحافظة على استقرار المعاملات وكذلك ثارت الخلافات بشأن الإثبات ذلك ان الباعث غالباً ما يبقى كامناً في غياهب الصدور وخفايا النفوس، أما مسألة المشروعية فلم يتفق الفقهاء على الجزاء المترتب على عدم مشروعية الباعث وإنما يكون مختصاً في كل حالة على حدة، حسب مصدر الباعث غير المشروع ومعياره وبحسب ذلك كله يمكن تحديد الجزاء المترتب على الباعث غير المشروع ومعياره وبحسب ذلك كله يمكن تحديد الجزاء المترتب على الباعث غير المشروع ولذلك كله قسمنا هذا الفصل إلى مبحثين نتناول في أولهما بحث معيار الباعث وإثباته، أما ثانيهما فقد خصصناه لبحث الجزاء المترتب على عدم مشروعية الباعث.</w:t>
      </w:r>
    </w:p>
    <w:p w14:paraId="7227D12A" w14:textId="77777777" w:rsidR="008C0FB5" w:rsidRPr="008C0FB5" w:rsidRDefault="008C0FB5" w:rsidP="008C0FB5">
      <w:pPr>
        <w:pStyle w:val="af"/>
        <w:numPr>
          <w:ilvl w:val="0"/>
          <w:numId w:val="13"/>
        </w:numPr>
        <w:spacing w:before="240" w:after="120" w:line="240" w:lineRule="auto"/>
        <w:contextualSpacing w:val="0"/>
        <w:rPr>
          <w:rFonts w:ascii="Times New Roman" w:eastAsia="Times New Roman" w:hAnsi="Times New Roman" w:cs="Sultan bold"/>
          <w:b/>
          <w:vanish/>
          <w:szCs w:val="36"/>
          <w:rtl/>
          <w:lang w:bidi="ar-IQ"/>
        </w:rPr>
      </w:pPr>
    </w:p>
    <w:p w14:paraId="7C90208E" w14:textId="77777777" w:rsidR="008C0FB5" w:rsidRPr="008C0FB5" w:rsidRDefault="008C0FB5" w:rsidP="008C0FB5">
      <w:pPr>
        <w:pStyle w:val="af"/>
        <w:numPr>
          <w:ilvl w:val="0"/>
          <w:numId w:val="13"/>
        </w:numPr>
        <w:spacing w:before="240" w:after="120" w:line="240" w:lineRule="auto"/>
        <w:contextualSpacing w:val="0"/>
        <w:rPr>
          <w:rFonts w:ascii="Times New Roman" w:eastAsia="Times New Roman" w:hAnsi="Times New Roman" w:cs="Sultan bold"/>
          <w:b/>
          <w:vanish/>
          <w:szCs w:val="36"/>
          <w:rtl/>
          <w:lang w:bidi="ar-IQ"/>
        </w:rPr>
      </w:pPr>
    </w:p>
    <w:p w14:paraId="403DE1CB" w14:textId="77777777" w:rsidR="009F476E" w:rsidRPr="008C0FB5" w:rsidRDefault="009F476E" w:rsidP="008C0FB5">
      <w:pPr>
        <w:pStyle w:val="a0"/>
        <w:numPr>
          <w:ilvl w:val="1"/>
          <w:numId w:val="13"/>
        </w:numPr>
        <w:rPr>
          <w:rFonts w:hint="cs"/>
        </w:rPr>
      </w:pPr>
      <w:bookmarkStart w:id="56" w:name="_Toc8643648"/>
      <w:r w:rsidRPr="008C0FB5">
        <w:rPr>
          <w:rtl/>
        </w:rPr>
        <w:t xml:space="preserve">المبحث </w:t>
      </w:r>
      <w:r w:rsidRPr="008C0FB5">
        <w:rPr>
          <w:rFonts w:hint="cs"/>
          <w:rtl/>
        </w:rPr>
        <w:t>الأول</w:t>
      </w:r>
      <w:r w:rsidRPr="008C0FB5">
        <w:rPr>
          <w:rtl/>
        </w:rPr>
        <w:t xml:space="preserve">: </w:t>
      </w:r>
      <w:r w:rsidR="00763506" w:rsidRPr="008C0FB5">
        <w:rPr>
          <w:rFonts w:hint="cs"/>
          <w:rtl/>
        </w:rPr>
        <w:t>اثبات الباعث وضابطه</w:t>
      </w:r>
      <w:bookmarkEnd w:id="56"/>
      <w:r w:rsidRPr="008C0FB5">
        <w:rPr>
          <w:rtl/>
        </w:rPr>
        <w:t xml:space="preserve"> </w:t>
      </w:r>
    </w:p>
    <w:p w14:paraId="210C0C7A" w14:textId="77777777" w:rsidR="00763506" w:rsidRPr="008C0FB5" w:rsidRDefault="00763506" w:rsidP="00763506">
      <w:pPr>
        <w:pStyle w:val="48"/>
        <w:rPr>
          <w:rFonts w:hint="cs"/>
          <w:rtl/>
        </w:rPr>
      </w:pPr>
      <w:r w:rsidRPr="008C0FB5">
        <w:rPr>
          <w:rFonts w:hint="cs"/>
          <w:rtl/>
        </w:rPr>
        <w:t xml:space="preserve">إن الباعث هو أمر نفسي يوجه الشخص إلى إبرام عقد معين للتوصل إلى غاية معينة وبما انه كذلك فلا يمكن القول بوجود عقد من دون </w:t>
      </w:r>
      <w:proofErr w:type="gramStart"/>
      <w:r w:rsidRPr="008C0FB5">
        <w:rPr>
          <w:rFonts w:hint="cs"/>
          <w:rtl/>
        </w:rPr>
        <w:t>باعث</w:t>
      </w:r>
      <w:proofErr w:type="gramEnd"/>
      <w:r w:rsidRPr="008C0FB5">
        <w:rPr>
          <w:rFonts w:hint="cs"/>
          <w:rtl/>
        </w:rPr>
        <w:t xml:space="preserve"> ولكن في بعض العقود يذكر الباعث وفي بعضها الآخر لا يذكر مما يؤدي إلى إثارة النزاع بين الأطراف حوله، ولذلك قسمنا هذا المبحث إلى مطلبين نتناول في أولهما حالة عدم ذكر الباعث في العقد أما الثاني فنخصصه لبحث حالة ما إذا ذكر الباعث صراحة في العقد.</w:t>
      </w:r>
    </w:p>
    <w:p w14:paraId="66477517" w14:textId="77777777" w:rsidR="00763506" w:rsidRPr="008C0FB5" w:rsidRDefault="009A1071" w:rsidP="00C253D0">
      <w:pPr>
        <w:pStyle w:val="a1"/>
        <w:rPr>
          <w:rFonts w:hint="cs"/>
        </w:rPr>
      </w:pPr>
      <w:bookmarkStart w:id="57" w:name="_Toc8643649"/>
      <w:r w:rsidRPr="008C0FB5">
        <w:rPr>
          <w:rtl/>
        </w:rPr>
        <w:t>المطلب الاول</w:t>
      </w:r>
      <w:r w:rsidR="00FD70E3" w:rsidRPr="008C0FB5">
        <w:rPr>
          <w:rtl/>
        </w:rPr>
        <w:t xml:space="preserve">: </w:t>
      </w:r>
      <w:r w:rsidR="00763506" w:rsidRPr="008C0FB5">
        <w:rPr>
          <w:rFonts w:hint="cs"/>
          <w:rtl/>
        </w:rPr>
        <w:t>حالة عدم ذكر الباعث في العقد</w:t>
      </w:r>
      <w:bookmarkEnd w:id="57"/>
    </w:p>
    <w:p w14:paraId="5E63EC37" w14:textId="77777777" w:rsidR="00763506" w:rsidRPr="008C0FB5" w:rsidRDefault="00FD70E3" w:rsidP="00C35031">
      <w:pPr>
        <w:pStyle w:val="48"/>
        <w:rPr>
          <w:rFonts w:hint="cs"/>
          <w:rtl/>
        </w:rPr>
      </w:pPr>
      <w:r w:rsidRPr="008C0FB5">
        <w:rPr>
          <w:rtl/>
        </w:rPr>
        <w:t xml:space="preserve"> </w:t>
      </w:r>
      <w:r w:rsidR="00763506" w:rsidRPr="008C0FB5">
        <w:rPr>
          <w:rFonts w:ascii="hashemi" w:hAnsi="hashemi" w:hint="cs"/>
          <w:rtl/>
        </w:rPr>
        <w:t xml:space="preserve">إن ذكر الباعث داخل صيغة العقد غير واجب ولذلك فان العقد الذي لم يذكر باعثه عقد صحيح غير باطل لأن القانون قد افترض لهذا العقد باعث صحيح ومشروع طبقاً لنص المادة (132/ ف2 مدني عراقي) حيث تقول: </w:t>
      </w:r>
    </w:p>
    <w:p w14:paraId="3A69D34C" w14:textId="77777777" w:rsidR="00763506" w:rsidRPr="008C0FB5" w:rsidRDefault="00763506" w:rsidP="00A613BA">
      <w:pPr>
        <w:pStyle w:val="afffffff1"/>
        <w:rPr>
          <w:rFonts w:hint="cs"/>
          <w:rtl/>
        </w:rPr>
      </w:pPr>
      <w:r w:rsidRPr="008C0FB5">
        <w:rPr>
          <w:rFonts w:hint="cs"/>
          <w:rtl/>
        </w:rPr>
        <w:t xml:space="preserve">ويفترض في كل التزام ان له سبباً مشروعاً ولو لم يذكر هذا السبب في العقد، ما لم يقم الدليل على غير </w:t>
      </w:r>
      <w:proofErr w:type="gramStart"/>
      <w:r w:rsidRPr="008C0FB5">
        <w:rPr>
          <w:rFonts w:hint="cs"/>
          <w:rtl/>
        </w:rPr>
        <w:t>ذلك</w:t>
      </w:r>
      <w:r w:rsidRPr="008C0FB5">
        <w:rPr>
          <w:rFonts w:hint="cs"/>
          <w:szCs w:val="30"/>
          <w:vertAlign w:val="superscript"/>
          <w:rtl/>
        </w:rPr>
        <w:t>(</w:t>
      </w:r>
      <w:proofErr w:type="gramEnd"/>
      <w:r w:rsidRPr="008C0FB5">
        <w:rPr>
          <w:sz w:val="30"/>
          <w:szCs w:val="30"/>
          <w:vertAlign w:val="superscript"/>
          <w:rtl/>
        </w:rPr>
        <w:footnoteReference w:id="103"/>
      </w:r>
      <w:r w:rsidRPr="008C0FB5">
        <w:rPr>
          <w:rFonts w:hint="cs"/>
          <w:szCs w:val="30"/>
          <w:vertAlign w:val="superscript"/>
          <w:rtl/>
        </w:rPr>
        <w:t>)</w:t>
      </w:r>
      <w:r w:rsidRPr="008C0FB5">
        <w:rPr>
          <w:rFonts w:hint="cs"/>
          <w:rtl/>
        </w:rPr>
        <w:t>.</w:t>
      </w:r>
    </w:p>
    <w:p w14:paraId="08DBD1DF" w14:textId="77777777" w:rsidR="00763506" w:rsidRPr="008C0FB5" w:rsidRDefault="00763506" w:rsidP="00E634C5">
      <w:pPr>
        <w:pStyle w:val="35"/>
        <w:rPr>
          <w:rFonts w:hint="cs"/>
          <w:rtl/>
        </w:rPr>
      </w:pPr>
      <w:r w:rsidRPr="008C0FB5">
        <w:rPr>
          <w:rFonts w:hint="cs"/>
          <w:rtl/>
        </w:rPr>
        <w:t xml:space="preserve">فإذا ادعى المدين عدم مشروعية الباعث الدافع إلى التعاقد وقع عليه عبء إثبات هذا الباعث، </w:t>
      </w:r>
      <w:r w:rsidRPr="008C0FB5">
        <w:rPr>
          <w:rFonts w:hint="cs"/>
          <w:rtl/>
        </w:rPr>
        <w:lastRenderedPageBreak/>
        <w:t xml:space="preserve">لأنه يدعي خلاف الظاهر أي ان القانون بموجب نص المادة سابقة الذكر فقد نقل عبء الإثبات من الدائن </w:t>
      </w:r>
      <w:r w:rsidRPr="008C0FB5">
        <w:rPr>
          <w:rFonts w:ascii="Times New Roman" w:hAnsi="Times New Roman" w:cs="Times New Roman" w:hint="cs"/>
          <w:rtl/>
        </w:rPr>
        <w:t>–</w:t>
      </w:r>
      <w:r w:rsidRPr="008C0FB5">
        <w:rPr>
          <w:rFonts w:hint="cs"/>
          <w:rtl/>
        </w:rPr>
        <w:t xml:space="preserve"> وهو الأصول </w:t>
      </w:r>
      <w:r w:rsidRPr="008C0FB5">
        <w:rPr>
          <w:rFonts w:ascii="Times New Roman" w:hAnsi="Times New Roman" w:cs="Times New Roman" w:hint="cs"/>
          <w:rtl/>
        </w:rPr>
        <w:t>–</w:t>
      </w:r>
      <w:r w:rsidRPr="008C0FB5">
        <w:rPr>
          <w:rFonts w:hint="cs"/>
          <w:rtl/>
        </w:rPr>
        <w:t xml:space="preserve"> إلى المدين عن طريق افتراض مشروعية الباعث في حالة عدم ذكره صراحة في العقد</w:t>
      </w:r>
      <w:r w:rsidRPr="008C0FB5">
        <w:rPr>
          <w:rFonts w:cs="Saihat" w:hint="cs"/>
          <w:vertAlign w:val="superscript"/>
          <w:rtl/>
        </w:rPr>
        <w:t>(</w:t>
      </w:r>
      <w:r w:rsidRPr="008C0FB5">
        <w:rPr>
          <w:rFonts w:cs="Saihat"/>
          <w:sz w:val="30"/>
          <w:vertAlign w:val="superscript"/>
          <w:rtl/>
        </w:rPr>
        <w:footnoteReference w:id="104"/>
      </w:r>
      <w:r w:rsidRPr="008C0FB5">
        <w:rPr>
          <w:rFonts w:cs="Saihat" w:hint="cs"/>
          <w:vertAlign w:val="superscript"/>
          <w:rtl/>
        </w:rPr>
        <w:t>)</w:t>
      </w:r>
      <w:r w:rsidRPr="008C0FB5">
        <w:rPr>
          <w:rFonts w:hint="cs"/>
          <w:rtl/>
        </w:rPr>
        <w:t>، هذا من جهة ومن جهة أخرى فان القانون قد أقام قرينة قانونية بسيطة على وجود الباعث ومشروعيته في حالة عدم ذكره صراحة في العقد ولكن هذه القرينة القانونية قرينة بسيطة قابلة لإثبات العكس فيستطيع من يدعي خلاف ذلك إقامة الدليل على ما يدعيه</w:t>
      </w:r>
      <w:r w:rsidRPr="008C0FB5">
        <w:rPr>
          <w:rFonts w:cs="Saihat" w:hint="cs"/>
          <w:vertAlign w:val="superscript"/>
          <w:rtl/>
        </w:rPr>
        <w:t>(</w:t>
      </w:r>
      <w:r w:rsidRPr="008C0FB5">
        <w:rPr>
          <w:rFonts w:cs="Saihat"/>
          <w:sz w:val="30"/>
          <w:vertAlign w:val="superscript"/>
          <w:rtl/>
        </w:rPr>
        <w:footnoteReference w:id="105"/>
      </w:r>
      <w:r w:rsidRPr="008C0FB5">
        <w:rPr>
          <w:rFonts w:cs="Saihat" w:hint="cs"/>
          <w:vertAlign w:val="superscript"/>
          <w:rtl/>
        </w:rPr>
        <w:t>)</w:t>
      </w:r>
      <w:r w:rsidRPr="008C0FB5">
        <w:rPr>
          <w:rFonts w:hint="cs"/>
          <w:rtl/>
        </w:rPr>
        <w:t xml:space="preserve">.     </w:t>
      </w:r>
    </w:p>
    <w:p w14:paraId="740F0185" w14:textId="77777777" w:rsidR="00763506" w:rsidRPr="008C0FB5" w:rsidRDefault="00763506" w:rsidP="00E634C5">
      <w:pPr>
        <w:pStyle w:val="35"/>
        <w:rPr>
          <w:rFonts w:hint="cs"/>
          <w:rtl/>
        </w:rPr>
      </w:pPr>
      <w:r w:rsidRPr="008C0FB5">
        <w:rPr>
          <w:rFonts w:hint="cs"/>
          <w:rtl/>
        </w:rPr>
        <w:t xml:space="preserve">أما بالنسبة لطرق الإثبات التي يجوز بها إثبات عدم مشروعية الباعث فان هذه الطرق غير محددة بأسلوب معين وإنما جميع وسائل الإثبات جائزة لأن القاعدة تقضي بأن التحايل على القانون جائز إثباته بكافة طرق </w:t>
      </w:r>
      <w:proofErr w:type="gramStart"/>
      <w:r w:rsidRPr="008C0FB5">
        <w:rPr>
          <w:rFonts w:hint="cs"/>
          <w:rtl/>
        </w:rPr>
        <w:t>الإثبات</w:t>
      </w:r>
      <w:r w:rsidRPr="008C0FB5">
        <w:rPr>
          <w:rFonts w:cs="Saihat" w:hint="cs"/>
          <w:vertAlign w:val="superscript"/>
          <w:rtl/>
        </w:rPr>
        <w:t>(</w:t>
      </w:r>
      <w:proofErr w:type="gramEnd"/>
      <w:r w:rsidRPr="008C0FB5">
        <w:rPr>
          <w:rFonts w:cs="Saihat"/>
          <w:sz w:val="30"/>
          <w:vertAlign w:val="superscript"/>
          <w:rtl/>
        </w:rPr>
        <w:footnoteReference w:id="106"/>
      </w:r>
      <w:r w:rsidRPr="008C0FB5">
        <w:rPr>
          <w:rFonts w:cs="Saihat" w:hint="cs"/>
          <w:vertAlign w:val="superscript"/>
          <w:rtl/>
        </w:rPr>
        <w:t>)</w:t>
      </w:r>
      <w:r w:rsidRPr="008C0FB5">
        <w:rPr>
          <w:rFonts w:hint="cs"/>
          <w:rtl/>
        </w:rPr>
        <w:t>.</w:t>
      </w:r>
    </w:p>
    <w:p w14:paraId="7EBA3D47" w14:textId="77777777" w:rsidR="00763506" w:rsidRPr="008C0FB5" w:rsidRDefault="00763506" w:rsidP="00E634C5">
      <w:pPr>
        <w:pStyle w:val="35"/>
        <w:rPr>
          <w:rFonts w:hint="cs"/>
          <w:rtl/>
        </w:rPr>
      </w:pPr>
      <w:r w:rsidRPr="008C0FB5">
        <w:rPr>
          <w:rFonts w:hint="cs"/>
          <w:rtl/>
        </w:rPr>
        <w:t xml:space="preserve">هذا بالنسبة لإثبات عدم مشروعية الباعث أما إثبات علم الطرف الآخر بالباعث غير المشروع فهذا أيضاً يجوز إثباته بكافة طرق الإثبات لأننا في مثل هذه الحالة نكون أمام واقعة مادية وليست قانونية والواقعة المادية يجوز إثباتها بكافة طرق </w:t>
      </w:r>
      <w:proofErr w:type="gramStart"/>
      <w:r w:rsidRPr="008C0FB5">
        <w:rPr>
          <w:rFonts w:hint="cs"/>
          <w:rtl/>
        </w:rPr>
        <w:t>الإثبات</w:t>
      </w:r>
      <w:r w:rsidRPr="008C0FB5">
        <w:rPr>
          <w:rFonts w:cs="Saihat" w:hint="cs"/>
          <w:vertAlign w:val="superscript"/>
          <w:rtl/>
        </w:rPr>
        <w:t>(</w:t>
      </w:r>
      <w:proofErr w:type="gramEnd"/>
      <w:r w:rsidRPr="008C0FB5">
        <w:rPr>
          <w:rFonts w:cs="Saihat"/>
          <w:sz w:val="30"/>
          <w:vertAlign w:val="superscript"/>
          <w:rtl/>
        </w:rPr>
        <w:footnoteReference w:id="107"/>
      </w:r>
      <w:r w:rsidRPr="008C0FB5">
        <w:rPr>
          <w:rFonts w:cs="Saihat" w:hint="cs"/>
          <w:vertAlign w:val="superscript"/>
          <w:rtl/>
        </w:rPr>
        <w:t>)</w:t>
      </w:r>
      <w:r w:rsidRPr="008C0FB5">
        <w:rPr>
          <w:rFonts w:hint="cs"/>
          <w:rtl/>
        </w:rPr>
        <w:t>.</w:t>
      </w:r>
    </w:p>
    <w:p w14:paraId="49CDD7A3" w14:textId="77777777" w:rsidR="00763506" w:rsidRPr="008C0FB5" w:rsidRDefault="00763506" w:rsidP="00EE4C46">
      <w:pPr>
        <w:pStyle w:val="a1"/>
        <w:rPr>
          <w:rFonts w:hint="cs"/>
          <w:rtl/>
        </w:rPr>
      </w:pPr>
      <w:bookmarkStart w:id="58" w:name="_Toc8643650"/>
      <w:r w:rsidRPr="008C0FB5">
        <w:rPr>
          <w:rFonts w:hint="cs"/>
          <w:rtl/>
        </w:rPr>
        <w:t>المطلب الثاني: إذا كان الباعث مذكور في العقد</w:t>
      </w:r>
      <w:bookmarkEnd w:id="58"/>
    </w:p>
    <w:p w14:paraId="78D65204" w14:textId="77777777" w:rsidR="00763506" w:rsidRPr="008C0FB5" w:rsidRDefault="00763506" w:rsidP="00E634C5">
      <w:pPr>
        <w:pStyle w:val="48"/>
        <w:rPr>
          <w:rFonts w:hint="cs"/>
          <w:rtl/>
        </w:rPr>
      </w:pPr>
      <w:r w:rsidRPr="008C0FB5">
        <w:rPr>
          <w:rFonts w:hint="cs"/>
          <w:rtl/>
        </w:rPr>
        <w:t xml:space="preserve">إذا كان الباعث مذكور صراحة في العقد فان القانون </w:t>
      </w:r>
      <w:r w:rsidRPr="008C0FB5">
        <w:rPr>
          <w:rFonts w:ascii="Times New Roman" w:hAnsi="Times New Roman" w:cs="Times New Roman" w:hint="cs"/>
          <w:rtl/>
        </w:rPr>
        <w:t>–</w:t>
      </w:r>
      <w:r w:rsidRPr="008C0FB5">
        <w:rPr>
          <w:rFonts w:hint="cs"/>
          <w:rtl/>
        </w:rPr>
        <w:t xml:space="preserve"> كما في الحالة السابقة </w:t>
      </w:r>
      <w:r w:rsidRPr="008C0FB5">
        <w:rPr>
          <w:rFonts w:ascii="Times New Roman" w:hAnsi="Times New Roman" w:cs="Times New Roman" w:hint="cs"/>
          <w:rtl/>
        </w:rPr>
        <w:t>–</w:t>
      </w:r>
      <w:r w:rsidRPr="008C0FB5">
        <w:rPr>
          <w:rFonts w:hint="cs"/>
          <w:rtl/>
        </w:rPr>
        <w:t xml:space="preserve"> يقيم قرينة قانونية بسيطة قابلة لإثبات العكس على ان هذا الباعث هو الباعث الحقيقي وذلك بموجب الفقرة الثالثة من نص المادة (132/مدني عراقي) والتي جاء نصها على النحو الآتي: أما إذا ذكر سبب في العقد فيعتبر انه السبب الحقيقي حتى يقوم الدليل على ما يخالف ذلك وبناءاً على هذا فان الباعث المذكور في العقد تنتابه فرضيتان هما:    </w:t>
      </w:r>
    </w:p>
    <w:p w14:paraId="5115606F" w14:textId="77777777" w:rsidR="00763506" w:rsidRPr="008C0FB5" w:rsidRDefault="00763506" w:rsidP="00E634C5">
      <w:pPr>
        <w:pStyle w:val="48"/>
        <w:numPr>
          <w:ilvl w:val="0"/>
          <w:numId w:val="50"/>
        </w:numPr>
        <w:rPr>
          <w:rFonts w:hint="cs"/>
          <w:rtl/>
        </w:rPr>
      </w:pPr>
      <w:r w:rsidRPr="008C0FB5">
        <w:rPr>
          <w:rFonts w:hint="cs"/>
          <w:rtl/>
        </w:rPr>
        <w:t>أما أن يكون الباعث المذكور في العقد غير مشروع.</w:t>
      </w:r>
    </w:p>
    <w:p w14:paraId="3C215B44" w14:textId="77777777" w:rsidR="00763506" w:rsidRPr="008C0FB5" w:rsidRDefault="00763506" w:rsidP="00E634C5">
      <w:pPr>
        <w:pStyle w:val="48"/>
        <w:numPr>
          <w:ilvl w:val="0"/>
          <w:numId w:val="50"/>
        </w:numPr>
        <w:rPr>
          <w:rFonts w:hint="cs"/>
          <w:rtl/>
        </w:rPr>
      </w:pPr>
      <w:r w:rsidRPr="008C0FB5">
        <w:rPr>
          <w:rFonts w:hint="cs"/>
          <w:rtl/>
        </w:rPr>
        <w:t xml:space="preserve">وأما أن يكون الباعث المذكور </w:t>
      </w:r>
      <w:proofErr w:type="gramStart"/>
      <w:r w:rsidRPr="008C0FB5">
        <w:rPr>
          <w:rFonts w:hint="cs"/>
          <w:rtl/>
        </w:rPr>
        <w:t>مشروع</w:t>
      </w:r>
      <w:proofErr w:type="gramEnd"/>
      <w:r w:rsidRPr="008C0FB5">
        <w:rPr>
          <w:rFonts w:hint="cs"/>
          <w:rtl/>
        </w:rPr>
        <w:t xml:space="preserve"> ولكنه يستر باعثاً حقيقياً غير مشروع.</w:t>
      </w:r>
    </w:p>
    <w:p w14:paraId="66B70A7B" w14:textId="77777777" w:rsidR="00763506" w:rsidRPr="008C0FB5" w:rsidRDefault="00763506" w:rsidP="00E634C5">
      <w:pPr>
        <w:pStyle w:val="35"/>
        <w:rPr>
          <w:rFonts w:hint="cs"/>
          <w:rtl/>
        </w:rPr>
      </w:pPr>
      <w:r w:rsidRPr="008C0FB5">
        <w:rPr>
          <w:rFonts w:hint="cs"/>
          <w:rtl/>
        </w:rPr>
        <w:t xml:space="preserve">فبالنسبة للفرضية الأولى وهي حالة ما إذا ذكر وكان غير مشروع فلا أحد يقول بعدم بطلان العقد في هذه الحالة لأن الباعث المذكور غير مشروع ولا يستطيع الطرف الآخر في هذه الحالة أن يدفع بعدم علمه بعدم مشروعية الباعث لدى الطرف الآخر لأن الباعث مذكور صراحة في العقد كمن يشتري أرضاً في داخل أرض المسلمين لبناء كنيسة عليها أو لبناء محلاً عليها لبيع المشروبات الكحولية، فهذا العقد باطلاً وذلك لمخالفة هذه الأبنية للنظام العام والآداب العامة </w:t>
      </w:r>
      <w:proofErr w:type="gramStart"/>
      <w:r w:rsidRPr="008C0FB5">
        <w:rPr>
          <w:rFonts w:hint="cs"/>
          <w:rtl/>
        </w:rPr>
        <w:t>للمسلمين</w:t>
      </w:r>
      <w:r w:rsidRPr="008C0FB5">
        <w:rPr>
          <w:rFonts w:cs="Saihat" w:hint="cs"/>
          <w:vertAlign w:val="superscript"/>
          <w:rtl/>
        </w:rPr>
        <w:t>(</w:t>
      </w:r>
      <w:proofErr w:type="gramEnd"/>
      <w:r w:rsidRPr="008C0FB5">
        <w:rPr>
          <w:rFonts w:cs="Saihat"/>
          <w:sz w:val="30"/>
          <w:vertAlign w:val="superscript"/>
          <w:rtl/>
        </w:rPr>
        <w:footnoteReference w:id="108"/>
      </w:r>
      <w:r w:rsidRPr="008C0FB5">
        <w:rPr>
          <w:rFonts w:cs="Saihat" w:hint="cs"/>
          <w:vertAlign w:val="superscript"/>
          <w:rtl/>
        </w:rPr>
        <w:t>)</w:t>
      </w:r>
      <w:r w:rsidRPr="008C0FB5">
        <w:rPr>
          <w:rFonts w:hint="cs"/>
          <w:rtl/>
        </w:rPr>
        <w:t>.</w:t>
      </w:r>
    </w:p>
    <w:p w14:paraId="1719F52A" w14:textId="77777777" w:rsidR="00763506" w:rsidRPr="008C0FB5" w:rsidRDefault="00763506" w:rsidP="00E634C5">
      <w:pPr>
        <w:pStyle w:val="35"/>
        <w:rPr>
          <w:rFonts w:hint="cs"/>
          <w:rtl/>
        </w:rPr>
      </w:pPr>
      <w:r w:rsidRPr="008C0FB5">
        <w:rPr>
          <w:rFonts w:hint="cs"/>
          <w:rtl/>
        </w:rPr>
        <w:t xml:space="preserve">أما بالنسبة للفرضية الثانية وهي حالة ما إذا ذكر الباعث في صيغة العقد ولكنه باعث صوري يستر به باعث آخر، فان أحد الطرفين إذا ما أراد أن يطعن بعدم المشروعية فان له أحد أمرين وهو أما أن يثبت أن الباعث المذكور هو باعث صوري وفي هذه الحالة يجب أن يثبت ذلك بموجب دليل كتابي لأن الدليل الكتابي لا يجوز إثبات ما يخالفه إلا بموجب دليل كتابي آخر وفي </w:t>
      </w:r>
      <w:r w:rsidRPr="008C0FB5">
        <w:rPr>
          <w:rFonts w:hint="cs"/>
          <w:rtl/>
        </w:rPr>
        <w:lastRenderedPageBreak/>
        <w:t>هذه الحالة لا يبطل العقد، ذلك لأن الصورية لا تعتبر سبباً من أسباب البطلان وإنما يقتصر عمل الصورية هنا على قلب عبء الإثبات من المدين إلى الدائن أي انه على الدائن أن يثبت ان للعقد سبب آخر مشروع</w:t>
      </w:r>
      <w:r w:rsidRPr="008C0FB5">
        <w:rPr>
          <w:rFonts w:cs="Saihat" w:hint="cs"/>
          <w:vertAlign w:val="superscript"/>
          <w:rtl/>
        </w:rPr>
        <w:t>(</w:t>
      </w:r>
      <w:r w:rsidRPr="008C0FB5">
        <w:rPr>
          <w:rFonts w:cs="Saihat"/>
          <w:sz w:val="30"/>
          <w:vertAlign w:val="superscript"/>
          <w:rtl/>
        </w:rPr>
        <w:footnoteReference w:id="109"/>
      </w:r>
      <w:r w:rsidRPr="008C0FB5">
        <w:rPr>
          <w:rFonts w:cs="Saihat" w:hint="cs"/>
          <w:vertAlign w:val="superscript"/>
          <w:rtl/>
        </w:rPr>
        <w:t>)</w:t>
      </w:r>
      <w:r w:rsidRPr="008C0FB5">
        <w:rPr>
          <w:rFonts w:hint="cs"/>
          <w:rtl/>
        </w:rPr>
        <w:t>.</w:t>
      </w:r>
    </w:p>
    <w:p w14:paraId="59DF15FC" w14:textId="77777777" w:rsidR="00763506" w:rsidRPr="008C0FB5" w:rsidRDefault="00763506" w:rsidP="00E634C5">
      <w:pPr>
        <w:pStyle w:val="35"/>
        <w:rPr>
          <w:rFonts w:hint="cs"/>
          <w:rtl/>
        </w:rPr>
      </w:pPr>
      <w:r w:rsidRPr="008C0FB5">
        <w:rPr>
          <w:rFonts w:hint="cs"/>
          <w:rtl/>
        </w:rPr>
        <w:t xml:space="preserve">هذا بالنسبة للأمر الأول، أما بالنسبة للأمر الثاني وفيه يقوم المدين بإثبات عدم المشروعية مباشرة وله في ذلك أن يثبتها بكافة طرق الإثبات لأن إخفاء عدم المشروعية غش والغش يجوز إثباته بكافة طرق الإثبات، مع ملاحظة انه إذا ادعى أحد الأطراف عدم مشروعية باعثه لدى التعاقد وجب عليه أن يثبت علم الطرف الآخر بهذا الباعث غير المشروع وإلا لا يحكم بعدم </w:t>
      </w:r>
      <w:proofErr w:type="gramStart"/>
      <w:r w:rsidRPr="008C0FB5">
        <w:rPr>
          <w:rFonts w:hint="cs"/>
          <w:rtl/>
        </w:rPr>
        <w:t>المشروعية</w:t>
      </w:r>
      <w:r w:rsidRPr="008C0FB5">
        <w:rPr>
          <w:rFonts w:cs="Saihat" w:hint="cs"/>
          <w:vertAlign w:val="superscript"/>
          <w:rtl/>
        </w:rPr>
        <w:t>(</w:t>
      </w:r>
      <w:proofErr w:type="gramEnd"/>
      <w:r w:rsidRPr="008C0FB5">
        <w:rPr>
          <w:rFonts w:cs="Saihat"/>
          <w:sz w:val="30"/>
          <w:vertAlign w:val="superscript"/>
          <w:rtl/>
        </w:rPr>
        <w:footnoteReference w:id="110"/>
      </w:r>
      <w:r w:rsidRPr="008C0FB5">
        <w:rPr>
          <w:rFonts w:cs="Saihat" w:hint="cs"/>
          <w:vertAlign w:val="superscript"/>
          <w:rtl/>
        </w:rPr>
        <w:t>)</w:t>
      </w:r>
      <w:r w:rsidRPr="008C0FB5">
        <w:rPr>
          <w:rFonts w:hint="cs"/>
          <w:rtl/>
        </w:rPr>
        <w:t>.</w:t>
      </w:r>
    </w:p>
    <w:p w14:paraId="5E5B5A8F" w14:textId="77777777" w:rsidR="00763506" w:rsidRPr="008C0FB5" w:rsidRDefault="00E634C5" w:rsidP="00C253D0">
      <w:pPr>
        <w:pStyle w:val="a0"/>
        <w:rPr>
          <w:rFonts w:hint="cs"/>
          <w:rtl/>
        </w:rPr>
      </w:pPr>
      <w:r w:rsidRPr="008C0FB5">
        <w:rPr>
          <w:rtl/>
        </w:rPr>
        <w:br w:type="page"/>
      </w:r>
      <w:bookmarkStart w:id="59" w:name="_Toc8643651"/>
      <w:r w:rsidR="00763506" w:rsidRPr="008C0FB5">
        <w:rPr>
          <w:rFonts w:hint="cs"/>
          <w:rtl/>
        </w:rPr>
        <w:lastRenderedPageBreak/>
        <w:t>المبحث الثاني: جـزاء الباعـث</w:t>
      </w:r>
      <w:bookmarkEnd w:id="59"/>
    </w:p>
    <w:p w14:paraId="71ADFD02" w14:textId="77777777" w:rsidR="00763506" w:rsidRPr="008C0FB5" w:rsidRDefault="00763506" w:rsidP="00C35031">
      <w:pPr>
        <w:pStyle w:val="48"/>
        <w:rPr>
          <w:rFonts w:hint="cs"/>
          <w:rtl/>
        </w:rPr>
      </w:pPr>
      <w:r w:rsidRPr="008C0FB5">
        <w:rPr>
          <w:rFonts w:hint="cs"/>
          <w:rtl/>
        </w:rPr>
        <w:t>إن الباعث هو أمر نفسي ذاتي يرتبط وجوداً وعدماً بالإرادة فإن وجدت الإرادة وجد الباعث وإن انتفت هذه الإرادة انتفى الباعث أي ان الباعث موجود لدى كل شخص عاقل يقدم على إبرام عقد معين فجزاء الباعث هنا لا يفرض على وجوده أو عدم وجوده وإنما يكون مفروضاً على تخلفه أو عدم مشروعيته هذا من جانب ومن جانب آخر في بعض الحالات يمكننا تصحيح الباعث غير المشروع دون اللجوء إلى البطلان الكامل للعقد وعلى هذا كله، فقد قسمنا هذا المبحث إلى مطالب ثلاثة، نتناول في أولها الجزاء المترتب على انقطاع الباعث وتخلفه إلى باعث آخر أما ثانيها فقد خصصناه لبحث الجزاء المترتب على عدم مشروعية الباعث، أما المطلب الثالث فقد بحثنا فيه إمكانية تصحيح الباعث غير المشروع.</w:t>
      </w:r>
    </w:p>
    <w:p w14:paraId="3AD0267F" w14:textId="77777777" w:rsidR="00763506" w:rsidRPr="008C0FB5" w:rsidRDefault="00763506" w:rsidP="00EE4C46">
      <w:pPr>
        <w:pStyle w:val="a1"/>
        <w:rPr>
          <w:rFonts w:hint="cs"/>
          <w:rtl/>
        </w:rPr>
      </w:pPr>
      <w:bookmarkStart w:id="60" w:name="_Toc8643652"/>
      <w:r w:rsidRPr="008C0FB5">
        <w:rPr>
          <w:rFonts w:hint="cs"/>
          <w:rtl/>
        </w:rPr>
        <w:t>المطلب الأول: الجزاء على مخالفة الباعث المشروع</w:t>
      </w:r>
      <w:bookmarkEnd w:id="60"/>
    </w:p>
    <w:p w14:paraId="5E6197D9" w14:textId="77777777" w:rsidR="00763506" w:rsidRPr="008C0FB5" w:rsidRDefault="00763506" w:rsidP="00C35031">
      <w:pPr>
        <w:pStyle w:val="48"/>
        <w:rPr>
          <w:rFonts w:hint="cs"/>
          <w:rtl/>
        </w:rPr>
      </w:pPr>
      <w:r w:rsidRPr="008C0FB5">
        <w:rPr>
          <w:rFonts w:hint="cs"/>
          <w:rtl/>
        </w:rPr>
        <w:t>وتتحقق هذه الحالة عند عدم تحقق الغرض المقصود من العقد وعدم التحقق هذا راجع إلى أحد الفروض الآتية:</w:t>
      </w:r>
    </w:p>
    <w:p w14:paraId="610B4522" w14:textId="77777777" w:rsidR="00763506" w:rsidRPr="008C0FB5" w:rsidRDefault="00763506" w:rsidP="00C35031">
      <w:pPr>
        <w:pStyle w:val="48"/>
        <w:rPr>
          <w:rFonts w:hint="cs"/>
          <w:rtl/>
        </w:rPr>
      </w:pPr>
      <w:r w:rsidRPr="008C0FB5">
        <w:rPr>
          <w:rFonts w:hint="cs"/>
          <w:rtl/>
        </w:rPr>
        <w:t xml:space="preserve">حالة ما إذا وقع المتعاقد في غلط جوهري، كمن يشتري أرضاً لبناء مدرسة ثم يتبين بعد ذلك ان هذه المساحة لا يجوز بناء مدرسة عليها وذلك لأن مساحتها أقل من المساحة المقررة لبناء المدارس كحد أدنى فهذه الحالة وإن كانت هي غلط في الباعث الدافع للتعاقد إلا انه ينطبق عليها أحكام نظرية الغلط وليس أحكام نظرية </w:t>
      </w:r>
      <w:proofErr w:type="gramStart"/>
      <w:r w:rsidRPr="008C0FB5">
        <w:rPr>
          <w:rFonts w:hint="cs"/>
          <w:rtl/>
        </w:rPr>
        <w:t>الباعث</w:t>
      </w:r>
      <w:r w:rsidRPr="008C0FB5">
        <w:rPr>
          <w:rFonts w:cs="Saihat" w:hint="cs"/>
          <w:vertAlign w:val="superscript"/>
          <w:rtl/>
        </w:rPr>
        <w:t>(</w:t>
      </w:r>
      <w:proofErr w:type="gramEnd"/>
      <w:r w:rsidRPr="008C0FB5">
        <w:rPr>
          <w:rStyle w:val="af0"/>
          <w:rFonts w:cs="Saihat"/>
          <w:sz w:val="30"/>
          <w:rtl/>
        </w:rPr>
        <w:footnoteReference w:id="111"/>
      </w:r>
      <w:r w:rsidRPr="008C0FB5">
        <w:rPr>
          <w:rFonts w:cs="Saihat" w:hint="cs"/>
          <w:vertAlign w:val="superscript"/>
          <w:rtl/>
        </w:rPr>
        <w:t>)</w:t>
      </w:r>
      <w:r w:rsidRPr="008C0FB5">
        <w:rPr>
          <w:rFonts w:hint="cs"/>
          <w:rtl/>
        </w:rPr>
        <w:t>.</w:t>
      </w:r>
    </w:p>
    <w:p w14:paraId="08681960" w14:textId="77777777" w:rsidR="00763506" w:rsidRPr="008C0FB5" w:rsidRDefault="00763506" w:rsidP="007A1F34">
      <w:pPr>
        <w:pStyle w:val="48"/>
        <w:numPr>
          <w:ilvl w:val="0"/>
          <w:numId w:val="18"/>
        </w:numPr>
        <w:rPr>
          <w:rFonts w:hint="cs"/>
          <w:rtl/>
        </w:rPr>
      </w:pPr>
      <w:r w:rsidRPr="008C0FB5">
        <w:rPr>
          <w:rFonts w:hint="cs"/>
          <w:rtl/>
        </w:rPr>
        <w:t xml:space="preserve">أما الحالة الثانية وهي حالة ما إذا تضمن العقد شرطاً وهذا الشرط هو الذي دفع المتعاقدين للتعاقد فيعلق عليه وجود العقد أو زواله وهذه الحالة تتضمنها نظرية </w:t>
      </w:r>
      <w:proofErr w:type="gramStart"/>
      <w:r w:rsidRPr="008C0FB5">
        <w:rPr>
          <w:rFonts w:hint="cs"/>
          <w:rtl/>
        </w:rPr>
        <w:t>الشروط</w:t>
      </w:r>
      <w:r w:rsidRPr="008C0FB5">
        <w:rPr>
          <w:rFonts w:cs="Saihat" w:hint="cs"/>
          <w:vertAlign w:val="superscript"/>
          <w:rtl/>
        </w:rPr>
        <w:t>(</w:t>
      </w:r>
      <w:proofErr w:type="gramEnd"/>
      <w:r w:rsidRPr="008C0FB5">
        <w:rPr>
          <w:rStyle w:val="af0"/>
          <w:rFonts w:cs="Saihat"/>
          <w:sz w:val="30"/>
          <w:rtl/>
        </w:rPr>
        <w:footnoteReference w:id="112"/>
      </w:r>
      <w:r w:rsidRPr="008C0FB5">
        <w:rPr>
          <w:rFonts w:cs="Saihat" w:hint="cs"/>
          <w:vertAlign w:val="superscript"/>
          <w:rtl/>
        </w:rPr>
        <w:t>)</w:t>
      </w:r>
      <w:r w:rsidRPr="008C0FB5">
        <w:rPr>
          <w:rFonts w:hint="cs"/>
          <w:rtl/>
        </w:rPr>
        <w:t>.</w:t>
      </w:r>
    </w:p>
    <w:p w14:paraId="1CA21A32" w14:textId="77777777" w:rsidR="00763506" w:rsidRPr="008C0FB5" w:rsidRDefault="00763506" w:rsidP="007A1F34">
      <w:pPr>
        <w:pStyle w:val="48"/>
        <w:numPr>
          <w:ilvl w:val="0"/>
          <w:numId w:val="18"/>
        </w:numPr>
        <w:rPr>
          <w:rFonts w:hint="cs"/>
          <w:rtl/>
        </w:rPr>
      </w:pPr>
      <w:r w:rsidRPr="008C0FB5">
        <w:rPr>
          <w:rFonts w:hint="cs"/>
          <w:rtl/>
        </w:rPr>
        <w:t>أما الحالة الثالثة وهي موضوع بحثنا هي حالة عدم ذكر الباعث في متن العقد ولكن هذا الباعث مستفاد من طبيعة العقد والظروف المحيطة به كمن يقرض مبلغاً من النقود لشاب مقبل على الزواج لفترة من الزمن ثم يتبين بعد ذلك ان هذا الشاب استخدم هذا المال للعب القمار ففي هذه الحالة يستطيع المقرض أن يطالب بقطع المدة وإرجاع مبلغ الدين لتخلف الغرض الذي كان ينويه المقرض ومثل هذه الحالة عرضت قضية على مجلس المشاورين في قرطبة فكانت وقائعها تتلخص في ان شخصاً استدان من زوجته مبلغاً من النقود لمدة خمس سنوات وكلنه طلقها بعد سنة ونصف، فقاضته الزوجة تطلب حلول الدين وسقوط الأجل، فرفع القاضي أمرها إلى هذا المجلس فأفتى المجلس لمصلحتها معللاً بأن هذا الاتفاق كان الغرض منه هو استدامة العلاقة الزوجية بينهما فما زال الغرض أصبح الأجل بلا سبب ومن ثم لزم أن يزول بزواله</w:t>
      </w:r>
      <w:r w:rsidRPr="008C0FB5">
        <w:rPr>
          <w:rFonts w:cs="Saihat" w:hint="cs"/>
          <w:vertAlign w:val="superscript"/>
          <w:rtl/>
        </w:rPr>
        <w:t>(</w:t>
      </w:r>
      <w:r w:rsidRPr="008C0FB5">
        <w:rPr>
          <w:rStyle w:val="af0"/>
          <w:rFonts w:cs="Saihat"/>
          <w:sz w:val="30"/>
          <w:rtl/>
        </w:rPr>
        <w:footnoteReference w:id="113"/>
      </w:r>
      <w:r w:rsidRPr="008C0FB5">
        <w:rPr>
          <w:rFonts w:cs="Saihat" w:hint="cs"/>
          <w:vertAlign w:val="superscript"/>
          <w:rtl/>
        </w:rPr>
        <w:t>)</w:t>
      </w:r>
      <w:r w:rsidRPr="008C0FB5">
        <w:rPr>
          <w:rFonts w:hint="cs"/>
          <w:rtl/>
        </w:rPr>
        <w:t>.</w:t>
      </w:r>
    </w:p>
    <w:p w14:paraId="11D3AAFC" w14:textId="77777777" w:rsidR="00763506" w:rsidRPr="008C0FB5" w:rsidRDefault="00763506" w:rsidP="00C35031">
      <w:pPr>
        <w:pStyle w:val="35"/>
        <w:rPr>
          <w:rFonts w:hint="cs"/>
          <w:rtl/>
        </w:rPr>
      </w:pPr>
      <w:r w:rsidRPr="008C0FB5">
        <w:rPr>
          <w:rFonts w:hint="cs"/>
          <w:rtl/>
        </w:rPr>
        <w:t xml:space="preserve">وعلى هذا يمكننا ملاحظة ان الباعث على العقد إذا كان </w:t>
      </w:r>
      <w:proofErr w:type="gramStart"/>
      <w:r w:rsidRPr="008C0FB5">
        <w:rPr>
          <w:rFonts w:hint="cs"/>
          <w:rtl/>
        </w:rPr>
        <w:t>مشروعاً</w:t>
      </w:r>
      <w:proofErr w:type="gramEnd"/>
      <w:r w:rsidRPr="008C0FB5">
        <w:rPr>
          <w:rFonts w:hint="cs"/>
          <w:rtl/>
        </w:rPr>
        <w:t xml:space="preserve"> ولكنه لم يتحقق، يمكن لأحد العاقدين أن يطلب الفسخ ولكن هذا الفسخ مقصوراً عن الآثار فقد يفسخ العقد دون أن </w:t>
      </w:r>
      <w:r w:rsidRPr="008C0FB5">
        <w:rPr>
          <w:rFonts w:hint="cs"/>
          <w:rtl/>
        </w:rPr>
        <w:lastRenderedPageBreak/>
        <w:t>يستطيع الدائن أن يحصل على مبلغ القرض ذلك حسب حسن أو سوء نية المتعاقد على التفصيل الآتي:</w:t>
      </w:r>
    </w:p>
    <w:p w14:paraId="00534F95" w14:textId="77777777" w:rsidR="00763506" w:rsidRPr="008C0FB5" w:rsidRDefault="00763506" w:rsidP="00C35031">
      <w:pPr>
        <w:pStyle w:val="48"/>
        <w:rPr>
          <w:rFonts w:hint="cs"/>
          <w:rtl/>
        </w:rPr>
      </w:pPr>
      <w:r w:rsidRPr="008C0FB5">
        <w:rPr>
          <w:rFonts w:hint="cs"/>
          <w:b/>
          <w:bCs/>
          <w:rtl/>
        </w:rPr>
        <w:t>هناك ثلاث فرضيات لهذه الحالة:</w:t>
      </w:r>
    </w:p>
    <w:p w14:paraId="1720A5ED" w14:textId="77777777" w:rsidR="00763506" w:rsidRPr="008C0FB5" w:rsidRDefault="00763506" w:rsidP="007A1F34">
      <w:pPr>
        <w:pStyle w:val="48"/>
        <w:numPr>
          <w:ilvl w:val="0"/>
          <w:numId w:val="19"/>
        </w:numPr>
        <w:rPr>
          <w:rFonts w:hint="cs"/>
          <w:rtl/>
        </w:rPr>
      </w:pPr>
      <w:r w:rsidRPr="008C0FB5">
        <w:rPr>
          <w:rFonts w:hint="cs"/>
          <w:rtl/>
        </w:rPr>
        <w:t>أن يكون تخلف الباعث المشروع راجعاً إلى من قام بالتسليم فقط.</w:t>
      </w:r>
    </w:p>
    <w:p w14:paraId="5A8A41AD" w14:textId="77777777" w:rsidR="00763506" w:rsidRPr="008C0FB5" w:rsidRDefault="00763506" w:rsidP="007A1F34">
      <w:pPr>
        <w:pStyle w:val="48"/>
        <w:numPr>
          <w:ilvl w:val="0"/>
          <w:numId w:val="19"/>
        </w:numPr>
        <w:rPr>
          <w:rFonts w:hint="cs"/>
          <w:rtl/>
        </w:rPr>
      </w:pPr>
      <w:r w:rsidRPr="008C0FB5">
        <w:rPr>
          <w:rFonts w:hint="cs"/>
          <w:rtl/>
        </w:rPr>
        <w:t>أن يكون تخلف الباعث المشروع راجعاً إلى من تسلم فقط.</w:t>
      </w:r>
    </w:p>
    <w:p w14:paraId="0506641F" w14:textId="77777777" w:rsidR="00763506" w:rsidRPr="008C0FB5" w:rsidRDefault="00763506" w:rsidP="007A1F34">
      <w:pPr>
        <w:pStyle w:val="48"/>
        <w:numPr>
          <w:ilvl w:val="0"/>
          <w:numId w:val="19"/>
        </w:numPr>
        <w:rPr>
          <w:rFonts w:hint="cs"/>
          <w:rtl/>
        </w:rPr>
      </w:pPr>
      <w:r w:rsidRPr="008C0FB5">
        <w:rPr>
          <w:rFonts w:hint="cs"/>
          <w:rtl/>
        </w:rPr>
        <w:t>أن يكون تخلف الباعث راجع إلى الطرفين.</w:t>
      </w:r>
    </w:p>
    <w:p w14:paraId="613BAFE2" w14:textId="77777777" w:rsidR="00763506" w:rsidRPr="008C0FB5" w:rsidRDefault="00763506" w:rsidP="00C35031">
      <w:pPr>
        <w:pStyle w:val="35"/>
        <w:rPr>
          <w:rFonts w:hint="cs"/>
          <w:rtl/>
        </w:rPr>
      </w:pPr>
      <w:r w:rsidRPr="008C0FB5">
        <w:rPr>
          <w:rFonts w:hint="cs"/>
          <w:rtl/>
        </w:rPr>
        <w:t xml:space="preserve">الفرضية الأولى: إذا تخلف الباعث المشروع بسبب من قام بالتسليم، فانه في هذه الحالة لا يمكن القول بفسخ العقد وإرجاع الطرفين إلى الحالة التي كانا عليها قبل التعاقد وذلك طبقاً لقاعدة رومانية تقضي بأنه </w:t>
      </w:r>
    </w:p>
    <w:p w14:paraId="49D75AE6" w14:textId="77777777" w:rsidR="00763506" w:rsidRPr="008C0FB5" w:rsidRDefault="00763506" w:rsidP="00A613BA">
      <w:pPr>
        <w:pStyle w:val="afffffff1"/>
        <w:rPr>
          <w:rFonts w:hint="cs"/>
          <w:rtl/>
        </w:rPr>
      </w:pPr>
      <w:r w:rsidRPr="008C0FB5">
        <w:rPr>
          <w:rFonts w:hint="cs"/>
          <w:rtl/>
        </w:rPr>
        <w:t xml:space="preserve">لا يجوز لأحد أن يتمسك أمام القضاء بفعله </w:t>
      </w:r>
      <w:proofErr w:type="gramStart"/>
      <w:r w:rsidRPr="008C0FB5">
        <w:rPr>
          <w:rFonts w:hint="cs"/>
          <w:rtl/>
        </w:rPr>
        <w:t>الشائن</w:t>
      </w:r>
      <w:r w:rsidRPr="008C0FB5">
        <w:rPr>
          <w:rFonts w:hint="cs"/>
          <w:szCs w:val="30"/>
          <w:vertAlign w:val="superscript"/>
          <w:rtl/>
        </w:rPr>
        <w:t>(</w:t>
      </w:r>
      <w:proofErr w:type="gramEnd"/>
      <w:r w:rsidRPr="008C0FB5">
        <w:rPr>
          <w:rStyle w:val="af0"/>
          <w:sz w:val="30"/>
          <w:szCs w:val="30"/>
          <w:rtl/>
        </w:rPr>
        <w:footnoteReference w:id="114"/>
      </w:r>
      <w:r w:rsidRPr="008C0FB5">
        <w:rPr>
          <w:rFonts w:hint="cs"/>
          <w:szCs w:val="30"/>
          <w:vertAlign w:val="superscript"/>
          <w:rtl/>
        </w:rPr>
        <w:t>)</w:t>
      </w:r>
      <w:r w:rsidRPr="008C0FB5">
        <w:rPr>
          <w:rFonts w:hint="cs"/>
          <w:rtl/>
        </w:rPr>
        <w:t>.</w:t>
      </w:r>
    </w:p>
    <w:p w14:paraId="65C715AD" w14:textId="77777777" w:rsidR="00763506" w:rsidRPr="008C0FB5" w:rsidRDefault="00763506" w:rsidP="00C35031">
      <w:pPr>
        <w:pStyle w:val="35"/>
        <w:rPr>
          <w:rFonts w:hint="cs"/>
          <w:rtl/>
        </w:rPr>
      </w:pPr>
      <w:r w:rsidRPr="008C0FB5">
        <w:rPr>
          <w:rFonts w:hint="cs"/>
          <w:rtl/>
        </w:rPr>
        <w:t xml:space="preserve">وعلى هذا إذا أمكننا تطبيق الحالة السابقة وهي حالة ما إذا استدان الزوج من زوجته مبلغاً من النقود لفترة معينة وقبل انتهاء هذه الفترة انقطعت العلاقة الزوجية بين الزوج وزوجته لسبب عائد إلى الزوجة كنشوزها أو غير ذلك من أسباب الطلاق فهل يمكننا القول بتطبيق قواعد الفسخ في هذه الحالة! الجواب يكون بالنفي طبعاً ذلك لأن الطلاق كان بسبب الزوجة فلا يمكن قطع المدة وإنما تبقى المدة على ما هي تطبيقاً لهذه القاعدة الرومانية وتمشياً مع قواعد الأخلاق والمنطق.   </w:t>
      </w:r>
    </w:p>
    <w:p w14:paraId="21976BCF" w14:textId="77777777" w:rsidR="00763506" w:rsidRPr="008C0FB5" w:rsidRDefault="00763506" w:rsidP="00C35031">
      <w:pPr>
        <w:pStyle w:val="35"/>
        <w:rPr>
          <w:rFonts w:hint="cs"/>
          <w:rtl/>
        </w:rPr>
      </w:pPr>
      <w:r w:rsidRPr="008C0FB5">
        <w:rPr>
          <w:rFonts w:hint="cs"/>
          <w:rtl/>
        </w:rPr>
        <w:t xml:space="preserve">الفرضية الثانية: إذا تخلف الباعث المشروع بسبب من تسلم فقط، وتعتبر هذه الفرضية هي المجال الخصب لتطبيق الفسخ لأن من تسلم هو الذي أدى إلى تخلف الباعث المشروع فيكون إرجاع الحالة إلى ما قبل التعاقد هي الحالة الأفضل ولا يستطيع أن يدفع ذلك لأنه سيء </w:t>
      </w:r>
      <w:proofErr w:type="gramStart"/>
      <w:r w:rsidRPr="008C0FB5">
        <w:rPr>
          <w:rFonts w:hint="cs"/>
          <w:rtl/>
        </w:rPr>
        <w:t>النية</w:t>
      </w:r>
      <w:r w:rsidRPr="008C0FB5">
        <w:rPr>
          <w:rFonts w:cs="Saihat" w:hint="cs"/>
          <w:vertAlign w:val="superscript"/>
          <w:rtl/>
        </w:rPr>
        <w:t>(</w:t>
      </w:r>
      <w:proofErr w:type="gramEnd"/>
      <w:r w:rsidRPr="008C0FB5">
        <w:rPr>
          <w:rStyle w:val="af0"/>
          <w:rFonts w:cs="Saihat"/>
          <w:sz w:val="30"/>
          <w:rtl/>
        </w:rPr>
        <w:footnoteReference w:id="115"/>
      </w:r>
      <w:r w:rsidRPr="008C0FB5">
        <w:rPr>
          <w:rFonts w:cs="Saihat" w:hint="cs"/>
          <w:vertAlign w:val="superscript"/>
          <w:rtl/>
        </w:rPr>
        <w:t>)</w:t>
      </w:r>
      <w:r w:rsidRPr="008C0FB5">
        <w:rPr>
          <w:rFonts w:hint="cs"/>
          <w:rtl/>
        </w:rPr>
        <w:t>، وان الحالة السابقة التي عرضت على مجلس المشاورين في قرطبة كان الطلاق راجعاً إلى الزوج فقط وهو من تسلم مبلغ الدين ولذلك أسقطت المحكمة المدة المتبقية بينهما.</w:t>
      </w:r>
    </w:p>
    <w:p w14:paraId="490FB57F" w14:textId="77777777" w:rsidR="00763506" w:rsidRPr="008C0FB5" w:rsidRDefault="00763506" w:rsidP="00C35031">
      <w:pPr>
        <w:pStyle w:val="35"/>
        <w:rPr>
          <w:rFonts w:hint="cs"/>
          <w:rtl/>
        </w:rPr>
      </w:pPr>
      <w:r w:rsidRPr="008C0FB5">
        <w:rPr>
          <w:rFonts w:hint="cs"/>
          <w:rtl/>
        </w:rPr>
        <w:t>الفرضية الثالثة: إذا كان تخلف الباعث راجعاً إلى الطرفين، ففي هذه الحالة لا يمكن لأحد منهما أن يسترد ما دفعه إلى الآخر إذا كان يؤدي إلى الإضرار بالطرف الآخر، أما إذا لم يكن فيه أي ضرر فيجوز الاسترداد مع التعويض، وترجمة لهذا الكلام نضرب المثال الآتي: انه إذا اقترض شخص من آخر مبلغاً من المال لباعث معين، ولظروف معينة، ولم يتحقق هذا الباعث بسبب من الطرفين فان المقرض يستطيع أن يسترد مبلغ القرض قبل انتهاء مدة القرض ولكن بدون فائدة عن المدة المتبقية، وبهذا يأخذ كل من الطرفين حقه من دون ضير الطرف الآخر.</w:t>
      </w:r>
    </w:p>
    <w:p w14:paraId="7AB2A60B" w14:textId="77777777" w:rsidR="00763506" w:rsidRPr="008C0FB5" w:rsidRDefault="00763506" w:rsidP="00C35031">
      <w:pPr>
        <w:pStyle w:val="35"/>
        <w:rPr>
          <w:rFonts w:hint="cs"/>
          <w:rtl/>
        </w:rPr>
      </w:pPr>
      <w:r w:rsidRPr="008C0FB5">
        <w:rPr>
          <w:rFonts w:hint="cs"/>
          <w:rtl/>
        </w:rPr>
        <w:t>وعلى هذا فانه يمكن للقاضي إصدار الحكم المناسب لكل حالة بما يتناسب مع قواعد العدالة وقواعد المنطق ذلك ان كل من الطرفين يعتبر آثماً ولا يجوز لمن كان آثماً أن يستفيد من إثمه.</w:t>
      </w:r>
    </w:p>
    <w:p w14:paraId="3298FD31" w14:textId="77777777" w:rsidR="00763506" w:rsidRPr="008C0FB5" w:rsidRDefault="00763506" w:rsidP="00EE4C46">
      <w:pPr>
        <w:pStyle w:val="a1"/>
        <w:rPr>
          <w:rFonts w:hint="cs"/>
          <w:rtl/>
        </w:rPr>
      </w:pPr>
      <w:bookmarkStart w:id="61" w:name="_Toc8643653"/>
      <w:r w:rsidRPr="008C0FB5">
        <w:rPr>
          <w:rFonts w:hint="cs"/>
          <w:rtl/>
        </w:rPr>
        <w:t>المطلب الثاني: الجزاء المترتب على عدم مشروعية الباعث</w:t>
      </w:r>
      <w:bookmarkEnd w:id="61"/>
    </w:p>
    <w:p w14:paraId="32360AC2" w14:textId="77777777" w:rsidR="00763506" w:rsidRPr="008C0FB5" w:rsidRDefault="00763506" w:rsidP="00C35031">
      <w:pPr>
        <w:pStyle w:val="48"/>
        <w:rPr>
          <w:rFonts w:hint="cs"/>
          <w:rtl/>
        </w:rPr>
      </w:pPr>
      <w:r w:rsidRPr="008C0FB5">
        <w:rPr>
          <w:rFonts w:hint="cs"/>
          <w:rtl/>
        </w:rPr>
        <w:t xml:space="preserve">إن عدم مشروعية الباعث باعتبارها سوء نية لدى الطرف اذلي يملك هذا الباعث غير المشروع </w:t>
      </w:r>
      <w:r w:rsidRPr="008C0FB5">
        <w:rPr>
          <w:rFonts w:hint="cs"/>
          <w:rtl/>
        </w:rPr>
        <w:lastRenderedPageBreak/>
        <w:t>آثاراً مختلفة على العقد، فعدم المشروعية بمعنى مخالفته للنظام العام والآداب العامة يرتب بطلان العقد، أما عدم المشروعية بصفته إضراراً للمصالح الخاصة برتب آثاراً مختلفة بين حالة وأخرى.</w:t>
      </w:r>
    </w:p>
    <w:p w14:paraId="5E4772AA" w14:textId="77777777" w:rsidR="00763506" w:rsidRPr="008C0FB5" w:rsidRDefault="00763506" w:rsidP="00C35031">
      <w:pPr>
        <w:pStyle w:val="35"/>
        <w:rPr>
          <w:rFonts w:hint="cs"/>
          <w:rtl/>
        </w:rPr>
      </w:pPr>
      <w:r w:rsidRPr="008C0FB5">
        <w:rPr>
          <w:rFonts w:hint="cs"/>
          <w:rtl/>
        </w:rPr>
        <w:t>ولهذا فقد قسمنا هذا المطلب إلى فرعين نبحث في أولهما الجزاء المترتب على عدم المشروعية المرتبط بالمصالح العامة أما ثانيهما فقد خصصناه لبحث الجزاء المترتب على عدم المشروعية المرتبط بالمصالح الخاصة.</w:t>
      </w:r>
    </w:p>
    <w:p w14:paraId="7606DAD1" w14:textId="77777777" w:rsidR="00763506" w:rsidRPr="008C0FB5" w:rsidRDefault="00763506" w:rsidP="009B2919">
      <w:pPr>
        <w:pStyle w:val="39"/>
        <w:numPr>
          <w:ilvl w:val="3"/>
          <w:numId w:val="5"/>
        </w:numPr>
        <w:tabs>
          <w:tab w:val="clear" w:pos="360"/>
        </w:tabs>
        <w:rPr>
          <w:rFonts w:hint="cs"/>
          <w:rtl/>
        </w:rPr>
      </w:pPr>
      <w:r w:rsidRPr="008C0FB5">
        <w:rPr>
          <w:rFonts w:hint="cs"/>
          <w:rtl/>
        </w:rPr>
        <w:t>الفرع الأول: الجزاء المترتب على عدم المشروعية المرتبط بالمصالح العامة</w:t>
      </w:r>
    </w:p>
    <w:p w14:paraId="000575D2" w14:textId="77777777" w:rsidR="00763506" w:rsidRPr="008C0FB5" w:rsidRDefault="00763506" w:rsidP="00EE4C46">
      <w:pPr>
        <w:pStyle w:val="35"/>
        <w:rPr>
          <w:rFonts w:hint="cs"/>
          <w:rtl/>
        </w:rPr>
      </w:pPr>
      <w:r w:rsidRPr="008C0FB5">
        <w:rPr>
          <w:rFonts w:hint="cs"/>
          <w:rtl/>
        </w:rPr>
        <w:t xml:space="preserve">لقد نصت المادة (132/ مدني عراقي) على انه </w:t>
      </w:r>
    </w:p>
    <w:p w14:paraId="6C85B05C" w14:textId="77777777" w:rsidR="00763506" w:rsidRPr="008C0FB5" w:rsidRDefault="00763506" w:rsidP="00A613BA">
      <w:pPr>
        <w:pStyle w:val="afffffff1"/>
        <w:rPr>
          <w:rFonts w:hint="cs"/>
          <w:rtl/>
        </w:rPr>
      </w:pPr>
      <w:r w:rsidRPr="008C0FB5">
        <w:rPr>
          <w:rFonts w:hint="cs"/>
          <w:rtl/>
        </w:rPr>
        <w:t>يكون العقد باطلاً إذا التزم المتعاقد دون سبب أو لسبب ممنوع قانوناً أو مخالفاً للنظام العام والآداب</w:t>
      </w:r>
      <w:r w:rsidR="003E1E9A" w:rsidRPr="008C0FB5">
        <w:rPr>
          <w:rFonts w:cs="hashemi" w:hint="cs"/>
          <w:rtl/>
          <w:lang w:bidi="ar-IQ"/>
        </w:rPr>
        <w:t>.</w:t>
      </w:r>
    </w:p>
    <w:p w14:paraId="5FCBA6AB" w14:textId="77777777" w:rsidR="00763506" w:rsidRPr="008C0FB5" w:rsidRDefault="00763506" w:rsidP="00C35031">
      <w:pPr>
        <w:pStyle w:val="35"/>
        <w:rPr>
          <w:rFonts w:hint="cs"/>
          <w:rtl/>
        </w:rPr>
      </w:pPr>
      <w:r w:rsidRPr="008C0FB5">
        <w:rPr>
          <w:rFonts w:hint="cs"/>
          <w:rtl/>
        </w:rPr>
        <w:t xml:space="preserve">وواضح من صراحة هذه المادة ان البطلان هو الجزاء لعدم مشروعية الباعث وهذا الحكم متفق عليه بين فقهاء الشريعة الإسلامية أيضاً، إلا ان الاختلاف </w:t>
      </w:r>
      <w:r w:rsidRPr="008C0FB5">
        <w:rPr>
          <w:rFonts w:ascii="Times New Roman" w:hAnsi="Times New Roman" w:cs="Times New Roman" w:hint="cs"/>
          <w:rtl/>
        </w:rPr>
        <w:t>–</w:t>
      </w:r>
      <w:r w:rsidRPr="008C0FB5">
        <w:rPr>
          <w:rFonts w:hint="cs"/>
          <w:rtl/>
        </w:rPr>
        <w:t xml:space="preserve"> كما لاحظنا سابقاً </w:t>
      </w:r>
      <w:r w:rsidRPr="008C0FB5">
        <w:rPr>
          <w:rFonts w:ascii="Times New Roman" w:hAnsi="Times New Roman" w:cs="Times New Roman" w:hint="cs"/>
          <w:rtl/>
        </w:rPr>
        <w:t>–</w:t>
      </w:r>
      <w:r w:rsidRPr="008C0FB5">
        <w:rPr>
          <w:rFonts w:hint="cs"/>
          <w:rtl/>
        </w:rPr>
        <w:t xml:space="preserve"> يكمن في علم وعدم علم الطرف الآخر، فإذا قلنا مثلاً ان العقد الذي يعلم طرفيه بالباعث غير المشروع يكون باطلاً فانه من غير المنطقي القول بأن العقد الذي يجهل أحد طرفيه الباعث غير المشروع </w:t>
      </w:r>
      <w:r w:rsidRPr="008C0FB5">
        <w:rPr>
          <w:rFonts w:ascii="Times New Roman" w:hAnsi="Times New Roman" w:cs="Times New Roman" w:hint="cs"/>
          <w:rtl/>
        </w:rPr>
        <w:t>–</w:t>
      </w:r>
      <w:r w:rsidRPr="008C0FB5">
        <w:rPr>
          <w:rFonts w:hint="cs"/>
          <w:rtl/>
        </w:rPr>
        <w:t xml:space="preserve"> وهو الطرف حسن النية </w:t>
      </w:r>
      <w:r w:rsidRPr="008C0FB5">
        <w:rPr>
          <w:rFonts w:ascii="Times New Roman" w:hAnsi="Times New Roman" w:cs="Times New Roman" w:hint="cs"/>
          <w:rtl/>
        </w:rPr>
        <w:t>–</w:t>
      </w:r>
      <w:r w:rsidRPr="008C0FB5">
        <w:rPr>
          <w:rFonts w:hint="cs"/>
          <w:rtl/>
        </w:rPr>
        <w:t xml:space="preserve"> يكون صحيحاً، ذلك لأن الباعث غير المشروع متوافر في الحالتين ولكننا إذا دخلنا في تفصيلات البطلان المطلق هنا، والصحة المقررة للعقد الذي يجهل أحد طرفيه الباعث غير المشروع نكون أمام حالة من الصحة والمنطقية وهذا ما سأبينه على النحو الآتي:</w:t>
      </w:r>
    </w:p>
    <w:p w14:paraId="22C5CF74" w14:textId="77777777" w:rsidR="00763506" w:rsidRPr="008C0FB5" w:rsidRDefault="00763506" w:rsidP="007A1F34">
      <w:pPr>
        <w:pStyle w:val="48"/>
        <w:numPr>
          <w:ilvl w:val="0"/>
          <w:numId w:val="20"/>
        </w:numPr>
        <w:rPr>
          <w:rFonts w:hint="cs"/>
          <w:rtl/>
        </w:rPr>
      </w:pPr>
      <w:r w:rsidRPr="008C0FB5">
        <w:rPr>
          <w:rFonts w:hint="cs"/>
          <w:rtl/>
        </w:rPr>
        <w:t>إذا كان القصد السيء مشترك بين الطرفين.</w:t>
      </w:r>
    </w:p>
    <w:p w14:paraId="19B46D1C" w14:textId="77777777" w:rsidR="00763506" w:rsidRPr="008C0FB5" w:rsidRDefault="00763506" w:rsidP="007A1F34">
      <w:pPr>
        <w:pStyle w:val="48"/>
        <w:numPr>
          <w:ilvl w:val="0"/>
          <w:numId w:val="20"/>
        </w:numPr>
        <w:rPr>
          <w:rFonts w:hint="cs"/>
          <w:rtl/>
        </w:rPr>
      </w:pPr>
      <w:r w:rsidRPr="008C0FB5">
        <w:rPr>
          <w:rFonts w:hint="cs"/>
          <w:rtl/>
        </w:rPr>
        <w:t>إذا كان القصد السيء متوفر لدى من تسلم فقط.</w:t>
      </w:r>
    </w:p>
    <w:p w14:paraId="39CA8817" w14:textId="77777777" w:rsidR="00763506" w:rsidRPr="008C0FB5" w:rsidRDefault="00763506" w:rsidP="007A1F34">
      <w:pPr>
        <w:pStyle w:val="48"/>
        <w:numPr>
          <w:ilvl w:val="0"/>
          <w:numId w:val="20"/>
        </w:numPr>
        <w:rPr>
          <w:rFonts w:hint="cs"/>
          <w:rtl/>
        </w:rPr>
      </w:pPr>
      <w:r w:rsidRPr="008C0FB5">
        <w:rPr>
          <w:rFonts w:hint="cs"/>
          <w:rtl/>
        </w:rPr>
        <w:t>إذا كان القصد السيء متوفر لدى من سلم فقط.</w:t>
      </w:r>
    </w:p>
    <w:p w14:paraId="29D3A7AF" w14:textId="77777777" w:rsidR="00763506" w:rsidRPr="008C0FB5" w:rsidRDefault="00763506" w:rsidP="00EE4C46">
      <w:pPr>
        <w:pStyle w:val="48"/>
        <w:rPr>
          <w:rFonts w:hint="cs"/>
          <w:b/>
          <w:bCs/>
          <w:rtl/>
        </w:rPr>
      </w:pPr>
      <w:r w:rsidRPr="008C0FB5">
        <w:rPr>
          <w:rFonts w:hint="cs"/>
          <w:b/>
          <w:bCs/>
          <w:rtl/>
        </w:rPr>
        <w:t>الحالة الأولى: إذا كان القصد السيء مشترك بين الطرفين:</w:t>
      </w:r>
    </w:p>
    <w:p w14:paraId="37D4A96F" w14:textId="77777777" w:rsidR="00763506" w:rsidRPr="008C0FB5" w:rsidRDefault="00763506" w:rsidP="00C35031">
      <w:pPr>
        <w:pStyle w:val="48"/>
        <w:rPr>
          <w:rFonts w:hint="cs"/>
          <w:rtl/>
        </w:rPr>
      </w:pPr>
      <w:r w:rsidRPr="008C0FB5">
        <w:rPr>
          <w:rFonts w:hint="cs"/>
          <w:rtl/>
        </w:rPr>
        <w:t>ففي هذه الحالة يكون كلاً من الطرفين آثماً فلا يجوز عند تقرير البطلان أن يسترد كل من الطرفين ما سلمه للآخر، وذلك لأننا إن أجزنا العقد نكون قد ساعدناهما على القصد غير المشروع، وهذا مخالف لقواعد المنطق، وبذلك لا يكون أمامنا إلا فرض جزاء معين على الطرفين ولا يكون ذلك إلا بمصادرة محل العقد المخالف للنظام العام، وذلك جزاءاً للطرفين لقبولهم إبراهم مثل هذه العقود، ويضرب لذلك مثلاً عقد الرشوة ففي هذا العقد لا يمكن تقرير البطلان وإعادة الطرفين إلى الحالة التي كانا عليها قبل التعاقد أو ان هذه الأموال تبقى لدى الموظف المرتشي ولذلك يكون الحل الأفضل في هذه الحالة هو مصادرة مبلغ الرشوة</w:t>
      </w:r>
      <w:r w:rsidRPr="008C0FB5">
        <w:rPr>
          <w:rFonts w:cs="Saihat" w:hint="cs"/>
          <w:vertAlign w:val="superscript"/>
          <w:rtl/>
        </w:rPr>
        <w:t>(</w:t>
      </w:r>
      <w:r w:rsidRPr="008C0FB5">
        <w:rPr>
          <w:rStyle w:val="af0"/>
          <w:rFonts w:cs="Saihat"/>
          <w:sz w:val="30"/>
          <w:rtl/>
        </w:rPr>
        <w:footnoteReference w:id="116"/>
      </w:r>
      <w:r w:rsidRPr="008C0FB5">
        <w:rPr>
          <w:rFonts w:cs="Saihat" w:hint="cs"/>
          <w:vertAlign w:val="superscript"/>
          <w:rtl/>
        </w:rPr>
        <w:t>)</w:t>
      </w:r>
      <w:r w:rsidRPr="008C0FB5">
        <w:rPr>
          <w:rFonts w:hint="cs"/>
          <w:rtl/>
        </w:rPr>
        <w:t>.</w:t>
      </w:r>
    </w:p>
    <w:p w14:paraId="7474DE63" w14:textId="77777777" w:rsidR="00763506" w:rsidRPr="008C0FB5" w:rsidRDefault="00763506" w:rsidP="00EE4C46">
      <w:pPr>
        <w:pStyle w:val="48"/>
        <w:rPr>
          <w:rFonts w:hint="cs"/>
          <w:b/>
          <w:bCs/>
          <w:rtl/>
        </w:rPr>
      </w:pPr>
      <w:r w:rsidRPr="008C0FB5">
        <w:rPr>
          <w:rFonts w:hint="cs"/>
          <w:b/>
          <w:bCs/>
          <w:rtl/>
        </w:rPr>
        <w:t>الحالة الثانية: إذا كان القصد السيء متوفر لدى من تسلم فقط:</w:t>
      </w:r>
    </w:p>
    <w:p w14:paraId="42847EB7" w14:textId="77777777" w:rsidR="00763506" w:rsidRPr="008C0FB5" w:rsidRDefault="00763506" w:rsidP="00C35031">
      <w:pPr>
        <w:pStyle w:val="48"/>
        <w:rPr>
          <w:rFonts w:hint="cs"/>
          <w:rtl/>
        </w:rPr>
      </w:pPr>
      <w:r w:rsidRPr="008C0FB5">
        <w:rPr>
          <w:rFonts w:hint="cs"/>
          <w:rtl/>
        </w:rPr>
        <w:t xml:space="preserve">وفي هذه الحالة يجوز لمن سلم فقط أن يسترد ما دفعه للطرف الآخر أما من تسلم فلا يجوز له المطالبة بإبطال العقد، ذلك لأنه آثم ولا يجوز مساعدته على إثمه فمن اشترى داراً ليعمل منها مكاناً للبغاء، فإذا أغلقت الشرطة هذا الدار فلا يجوز له أن يطالب بإبطال العقد للباعث غير المشروع لديه وقت التعاقد، طبقاً للقاعدة القائلة بأن من يتقدم للقضاء يجب أن يأتي بأيدي نظيفة </w:t>
      </w:r>
      <w:r w:rsidRPr="008C0FB5">
        <w:rPr>
          <w:rFonts w:hint="cs"/>
          <w:rtl/>
        </w:rPr>
        <w:lastRenderedPageBreak/>
        <w:t xml:space="preserve">غير ملوثة بعدم </w:t>
      </w:r>
      <w:proofErr w:type="gramStart"/>
      <w:r w:rsidRPr="008C0FB5">
        <w:rPr>
          <w:rFonts w:hint="cs"/>
          <w:rtl/>
        </w:rPr>
        <w:t>المشروعية</w:t>
      </w:r>
      <w:r w:rsidRPr="008C0FB5">
        <w:rPr>
          <w:rFonts w:cs="Saihat" w:hint="cs"/>
          <w:vertAlign w:val="superscript"/>
          <w:rtl/>
        </w:rPr>
        <w:t>(</w:t>
      </w:r>
      <w:proofErr w:type="gramEnd"/>
      <w:r w:rsidRPr="008C0FB5">
        <w:rPr>
          <w:rStyle w:val="af0"/>
          <w:rFonts w:cs="Saihat"/>
          <w:sz w:val="30"/>
          <w:rtl/>
        </w:rPr>
        <w:footnoteReference w:id="117"/>
      </w:r>
      <w:r w:rsidRPr="008C0FB5">
        <w:rPr>
          <w:rFonts w:cs="Saihat" w:hint="cs"/>
          <w:vertAlign w:val="superscript"/>
          <w:rtl/>
        </w:rPr>
        <w:t>)</w:t>
      </w:r>
      <w:r w:rsidRPr="008C0FB5">
        <w:rPr>
          <w:rFonts w:hint="cs"/>
          <w:rtl/>
        </w:rPr>
        <w:t>.</w:t>
      </w:r>
    </w:p>
    <w:p w14:paraId="6FFE0AF8" w14:textId="77777777" w:rsidR="00763506" w:rsidRPr="008C0FB5" w:rsidRDefault="00763506" w:rsidP="00EE4C46">
      <w:pPr>
        <w:pStyle w:val="48"/>
        <w:rPr>
          <w:rFonts w:hint="cs"/>
          <w:b/>
          <w:bCs/>
          <w:rtl/>
        </w:rPr>
      </w:pPr>
      <w:r w:rsidRPr="008C0FB5">
        <w:rPr>
          <w:rFonts w:hint="cs"/>
          <w:b/>
          <w:bCs/>
          <w:rtl/>
        </w:rPr>
        <w:t>الحالة الثالثة: إذا كان القصد السيء متوفر لدى من سلم فقط:</w:t>
      </w:r>
    </w:p>
    <w:p w14:paraId="7FF7B9C9" w14:textId="77777777" w:rsidR="00763506" w:rsidRPr="008C0FB5" w:rsidRDefault="00763506" w:rsidP="00C35031">
      <w:pPr>
        <w:pStyle w:val="48"/>
        <w:rPr>
          <w:rFonts w:hint="cs"/>
          <w:rtl/>
        </w:rPr>
      </w:pPr>
      <w:r w:rsidRPr="008C0FB5">
        <w:rPr>
          <w:rFonts w:hint="cs"/>
          <w:rtl/>
        </w:rPr>
        <w:t>فانه في مثل هذه الحالة لا يجوز لمن سلم أن يرفع دعوى للقضاء مطالباً بالاسترداد لأنه آثم ولا يجوز مكافأة الآثم على فعله ذلك اننا إذا قبلنا دعواه في الاسترداد نكون قد كافأناه على عمله غير المشروع فمن يدفع مبلغاً من المال على سبيل التبرع لامرأة ابتغاء لعمل غير مشروع مع عدم علمها بذلك فلا يجوز ه بعد ذلك إذا امتنعت هذه المرأة عن الرضوخ لملذاته أن يطالبها بإرجاع مبلغ التبرع، ذلك لأن يديه ملوثتان بعدم المشروعية فلا يجوز أن يتقدم إلى القضاء، وهذه القاعدة معمول بها في فرنسا وفي مصر في ظل القانون الملغي، أما في ظل القانون المدني الجديد فقد رأى الدكتور السنهوري</w:t>
      </w:r>
      <w:r w:rsidRPr="008C0FB5">
        <w:rPr>
          <w:rFonts w:cs="Saihat" w:hint="cs"/>
          <w:vertAlign w:val="superscript"/>
          <w:rtl/>
        </w:rPr>
        <w:t>(</w:t>
      </w:r>
      <w:r w:rsidRPr="008C0FB5">
        <w:rPr>
          <w:rStyle w:val="af0"/>
          <w:rFonts w:cs="Saihat"/>
          <w:sz w:val="30"/>
          <w:rtl/>
        </w:rPr>
        <w:footnoteReference w:id="118"/>
      </w:r>
      <w:r w:rsidRPr="008C0FB5">
        <w:rPr>
          <w:rFonts w:cs="Saihat" w:hint="cs"/>
          <w:vertAlign w:val="superscript"/>
          <w:rtl/>
        </w:rPr>
        <w:t>)</w:t>
      </w:r>
      <w:r w:rsidRPr="008C0FB5">
        <w:rPr>
          <w:rFonts w:hint="cs"/>
          <w:rtl/>
        </w:rPr>
        <w:t xml:space="preserve"> عدم الأخذ بهذه القاعدة، وكذلك فعل بالنسبة للقانون العراقي، أما بالنسبة للفقه العراقي فقد رجح الدكتور عبد المجيد الحكيم</w:t>
      </w:r>
      <w:r w:rsidRPr="008C0FB5">
        <w:rPr>
          <w:rFonts w:cs="Saihat" w:hint="cs"/>
          <w:vertAlign w:val="superscript"/>
          <w:rtl/>
        </w:rPr>
        <w:t>(</w:t>
      </w:r>
      <w:r w:rsidRPr="008C0FB5">
        <w:rPr>
          <w:rStyle w:val="af0"/>
          <w:rFonts w:cs="Saihat"/>
          <w:sz w:val="30"/>
          <w:rtl/>
        </w:rPr>
        <w:footnoteReference w:id="119"/>
      </w:r>
      <w:r w:rsidRPr="008C0FB5">
        <w:rPr>
          <w:rFonts w:cs="Saihat" w:hint="cs"/>
          <w:vertAlign w:val="superscript"/>
          <w:rtl/>
        </w:rPr>
        <w:t>)</w:t>
      </w:r>
      <w:r w:rsidRPr="008C0FB5">
        <w:rPr>
          <w:rFonts w:hint="cs"/>
          <w:rtl/>
        </w:rPr>
        <w:t xml:space="preserve"> الأخذ بها، وذلك لصحتها ومنطقية النتائج المترتبة عليها، ولا يمكننا هنا إلا ترجيح الأخذ بالقاعدة الرومانية للأسباب المذكورة مع بعض التحوير كما رأيناه سابقاً.</w:t>
      </w:r>
    </w:p>
    <w:p w14:paraId="5D9F5139" w14:textId="77777777" w:rsidR="00763506" w:rsidRPr="008C0FB5" w:rsidRDefault="00763506" w:rsidP="00C35031">
      <w:pPr>
        <w:pStyle w:val="35"/>
        <w:rPr>
          <w:rFonts w:hint="cs"/>
          <w:rtl/>
        </w:rPr>
      </w:pPr>
      <w:r w:rsidRPr="008C0FB5">
        <w:rPr>
          <w:rFonts w:hint="cs"/>
          <w:rtl/>
        </w:rPr>
        <w:t>ومع ذلك فان حماية المشروعية هي المقصودة من وراء ذلك كله، فإذا استلزمت هذه الفكرة رد ما أوفى به قضي بذلك، وإن كان في الرد ما يتنافى معها رفض طلب الرد.</w:t>
      </w:r>
    </w:p>
    <w:p w14:paraId="43FBE5A0" w14:textId="77777777" w:rsidR="00763506" w:rsidRPr="008C0FB5" w:rsidRDefault="00763506" w:rsidP="00C35031">
      <w:pPr>
        <w:pStyle w:val="35"/>
        <w:rPr>
          <w:rFonts w:hint="cs"/>
          <w:rtl/>
        </w:rPr>
      </w:pPr>
      <w:r w:rsidRPr="008C0FB5">
        <w:rPr>
          <w:rFonts w:hint="cs"/>
          <w:rtl/>
        </w:rPr>
        <w:t>فالمشروعية هدفها تحقيق مصلحة المجتمع، والجزاء على عدم المشروعية، غايته تحقيق هذه المصلحة فيجب التزام هذه الغاية دون النظر إلى أي اعتبار آخر.</w:t>
      </w:r>
    </w:p>
    <w:p w14:paraId="31A516E0" w14:textId="77777777" w:rsidR="00763506" w:rsidRPr="008C0FB5" w:rsidRDefault="00763506" w:rsidP="00C35031">
      <w:pPr>
        <w:pStyle w:val="35"/>
        <w:rPr>
          <w:rFonts w:hint="cs"/>
          <w:rtl/>
        </w:rPr>
      </w:pPr>
      <w:r w:rsidRPr="008C0FB5">
        <w:rPr>
          <w:rFonts w:hint="cs"/>
          <w:rtl/>
        </w:rPr>
        <w:t xml:space="preserve">وإذا ما حللنا الحالات المختلفة التي سمح فيها القضاء بتطبيق القاعدة وتلك التي استبعد منها تطبيقها لتبين ان الفكرة المهيمنة والموجهة هي تحقيق المصلحة العامة، وهي الفكرة التي تبرر الحلول القضائية التي لم تتقيد بمبدأ </w:t>
      </w:r>
      <w:proofErr w:type="gramStart"/>
      <w:r w:rsidRPr="008C0FB5">
        <w:rPr>
          <w:rFonts w:hint="cs"/>
          <w:rtl/>
        </w:rPr>
        <w:t>سابق .</w:t>
      </w:r>
      <w:proofErr w:type="gramEnd"/>
    </w:p>
    <w:p w14:paraId="256B4A7F" w14:textId="77777777" w:rsidR="00763506" w:rsidRPr="008C0FB5" w:rsidRDefault="00763506" w:rsidP="009B2919">
      <w:pPr>
        <w:pStyle w:val="39"/>
        <w:numPr>
          <w:ilvl w:val="3"/>
          <w:numId w:val="5"/>
        </w:numPr>
        <w:tabs>
          <w:tab w:val="clear" w:pos="360"/>
        </w:tabs>
        <w:rPr>
          <w:rFonts w:hint="cs"/>
          <w:rtl/>
        </w:rPr>
      </w:pPr>
      <w:r w:rsidRPr="008C0FB5">
        <w:rPr>
          <w:rFonts w:hint="cs"/>
          <w:rtl/>
        </w:rPr>
        <w:t>الفرع الثاني: الجزاء المترتب على عدم المشروعية المرتبط بالمصالح الخاصة</w:t>
      </w:r>
    </w:p>
    <w:p w14:paraId="2015A9AE" w14:textId="77777777" w:rsidR="00763506" w:rsidRPr="008C0FB5" w:rsidRDefault="00763506" w:rsidP="00C35031">
      <w:pPr>
        <w:pStyle w:val="48"/>
        <w:rPr>
          <w:rFonts w:hint="cs"/>
          <w:rtl/>
        </w:rPr>
      </w:pPr>
      <w:r w:rsidRPr="008C0FB5">
        <w:rPr>
          <w:rFonts w:hint="cs"/>
          <w:rtl/>
        </w:rPr>
        <w:t xml:space="preserve">إن عدم مشروعية الباعث بوصفه إضراراً بالمصالح الخاصة أما لطرفي العقد أو للغير لم تبحث استناداً لهذا </w:t>
      </w:r>
      <w:proofErr w:type="gramStart"/>
      <w:r w:rsidRPr="008C0FB5">
        <w:rPr>
          <w:rFonts w:hint="cs"/>
          <w:rtl/>
        </w:rPr>
        <w:t>المنطق</w:t>
      </w:r>
      <w:proofErr w:type="gramEnd"/>
      <w:r w:rsidRPr="008C0FB5">
        <w:rPr>
          <w:rFonts w:hint="cs"/>
          <w:rtl/>
        </w:rPr>
        <w:t xml:space="preserve"> بل بقيت تدرس كل حالة على حدة دون توحيدها في إطار واحد، مما رتب آثاراً مختلفة على هذه الأفعال، فلا يمكن استنتاج قاعدة عامة تحكم هذه الحالات. ومن أبرز الأمثلة على ذلك هي تصرف المدين الذي أحاط الدين بماله تبرعاً غير ملزم له أو معاوضة بغبن، وكذلك حالة تصرف الشخص في حقوقه عن طريق إبرام العقود بقصد الإضرار بالغير.</w:t>
      </w:r>
    </w:p>
    <w:p w14:paraId="7A1B2CE2" w14:textId="77777777" w:rsidR="00763506" w:rsidRPr="008C0FB5" w:rsidRDefault="00763506" w:rsidP="00C35031">
      <w:pPr>
        <w:pStyle w:val="35"/>
        <w:rPr>
          <w:rFonts w:hint="cs"/>
          <w:rtl/>
        </w:rPr>
      </w:pPr>
      <w:r w:rsidRPr="008C0FB5">
        <w:rPr>
          <w:rFonts w:hint="cs"/>
          <w:rtl/>
        </w:rPr>
        <w:t>وكما هو معلوم فان مجال بحث الحالة الأولى يكون في الدعوى البوليصية، أما مجال الحالة الثانية فهو فكرة التعسف باستعمال الحق، مما يخرجهما ظاهرياً من نطاق بحثي كونه يتعلق بنظرية الباعث.</w:t>
      </w:r>
    </w:p>
    <w:p w14:paraId="7F95CE89" w14:textId="77777777" w:rsidR="00763506" w:rsidRPr="008C0FB5" w:rsidRDefault="00763506" w:rsidP="00C35031">
      <w:pPr>
        <w:pStyle w:val="35"/>
        <w:rPr>
          <w:rFonts w:hint="cs"/>
          <w:rtl/>
        </w:rPr>
      </w:pPr>
      <w:r w:rsidRPr="008C0FB5">
        <w:rPr>
          <w:rFonts w:hint="cs"/>
          <w:rtl/>
        </w:rPr>
        <w:t>وحتى نبين مدى انطباق الحالتين السابقتين مع موضوع البحث بشكل عام وعدم مشروعية الباعث بشكل خاص لابد لي من مناقشة كل حالة على حدة وبصورة تفصيلية تفيد بربطها بنظرية الباعث.</w:t>
      </w:r>
    </w:p>
    <w:p w14:paraId="31216877" w14:textId="77777777" w:rsidR="00763506" w:rsidRPr="008C0FB5" w:rsidRDefault="00763506" w:rsidP="00EE4C46">
      <w:pPr>
        <w:pStyle w:val="48"/>
        <w:rPr>
          <w:rFonts w:hint="cs"/>
          <w:b/>
          <w:bCs/>
          <w:rtl/>
        </w:rPr>
      </w:pPr>
      <w:r w:rsidRPr="008C0FB5">
        <w:rPr>
          <w:rFonts w:hint="cs"/>
          <w:b/>
          <w:bCs/>
          <w:rtl/>
        </w:rPr>
        <w:lastRenderedPageBreak/>
        <w:t>أولاً: تصرف المدين بماله:</w:t>
      </w:r>
    </w:p>
    <w:p w14:paraId="69B15919" w14:textId="77777777" w:rsidR="00763506" w:rsidRPr="008C0FB5" w:rsidRDefault="00763506" w:rsidP="00C35031">
      <w:pPr>
        <w:pStyle w:val="48"/>
        <w:rPr>
          <w:rFonts w:hint="cs"/>
          <w:rtl/>
        </w:rPr>
      </w:pPr>
      <w:r w:rsidRPr="008C0FB5">
        <w:rPr>
          <w:rFonts w:hint="cs"/>
          <w:rtl/>
        </w:rPr>
        <w:t xml:space="preserve">للمالك أن يتصرف بماله كيفما يشاء، غير ان القانون فيد هذا التصرف في حالة ما إذا كان مديناً بعدم التصرف بماله بطريقة تضر الدائنين كون مال المدين يشكل ضماناً عاماً للدائنين، وقد أعطى القانون الحق للدائنين بإقامة دعوى عدم نفاذ تصرف المدين </w:t>
      </w:r>
      <w:proofErr w:type="gramStart"/>
      <w:r w:rsidRPr="008C0FB5">
        <w:rPr>
          <w:rFonts w:hint="cs"/>
          <w:rtl/>
        </w:rPr>
        <w:t>بمواجهتهم</w:t>
      </w:r>
      <w:r w:rsidRPr="008C0FB5">
        <w:rPr>
          <w:rFonts w:cs="Saihat" w:hint="cs"/>
          <w:vertAlign w:val="superscript"/>
          <w:rtl/>
        </w:rPr>
        <w:t>(</w:t>
      </w:r>
      <w:proofErr w:type="gramEnd"/>
      <w:r w:rsidRPr="008C0FB5">
        <w:rPr>
          <w:rStyle w:val="af0"/>
          <w:rFonts w:cs="Saihat"/>
          <w:sz w:val="30"/>
          <w:rtl/>
        </w:rPr>
        <w:footnoteReference w:id="120"/>
      </w:r>
      <w:r w:rsidRPr="008C0FB5">
        <w:rPr>
          <w:rFonts w:cs="Saihat" w:hint="cs"/>
          <w:vertAlign w:val="superscript"/>
          <w:rtl/>
        </w:rPr>
        <w:t>)</w:t>
      </w:r>
      <w:r w:rsidRPr="008C0FB5">
        <w:rPr>
          <w:rFonts w:hint="cs"/>
          <w:rtl/>
        </w:rPr>
        <w:t>، وذلك من خلال النص على دعوى عدم نفاذ التصرفات، وسيتبين لنا أن نظرية الباعث لا تقتصر على حماية المصلحة العامة والآداب من الخرق والانتهاك، بل ستمتد لحماية المصالح الفردية المتضررة من العقد الذي نشا بباعث سيء لخرقها.</w:t>
      </w:r>
    </w:p>
    <w:p w14:paraId="53B3F2F1" w14:textId="77777777" w:rsidR="00763506" w:rsidRPr="008C0FB5" w:rsidRDefault="00763506" w:rsidP="00C35031">
      <w:pPr>
        <w:pStyle w:val="35"/>
        <w:rPr>
          <w:rFonts w:hint="cs"/>
          <w:rtl/>
        </w:rPr>
      </w:pPr>
      <w:r w:rsidRPr="008C0FB5">
        <w:rPr>
          <w:rFonts w:hint="cs"/>
          <w:rtl/>
        </w:rPr>
        <w:t>ووجدت هذه الحالة كون المدين قد يستفيد من القيام بتصرفات قانونية كبيع أمواله بأقل من ثمن المثل أو التبرع بها تهرباً من سداد الدين، ويظهر جلياً معاقبة القانون للمدين  على ذلك بتوافر قصد غش الدائنين والإضرار بهم</w:t>
      </w:r>
      <w:r w:rsidRPr="008C0FB5">
        <w:rPr>
          <w:rFonts w:cs="Saihat" w:hint="cs"/>
          <w:vertAlign w:val="superscript"/>
          <w:rtl/>
        </w:rPr>
        <w:t>(</w:t>
      </w:r>
      <w:r w:rsidRPr="008C0FB5">
        <w:rPr>
          <w:rStyle w:val="af0"/>
          <w:rFonts w:cs="Saihat"/>
          <w:sz w:val="30"/>
          <w:rtl/>
        </w:rPr>
        <w:footnoteReference w:id="121"/>
      </w:r>
      <w:r w:rsidRPr="008C0FB5">
        <w:rPr>
          <w:rFonts w:cs="Saihat" w:hint="cs"/>
          <w:vertAlign w:val="superscript"/>
          <w:rtl/>
        </w:rPr>
        <w:t>)</w:t>
      </w:r>
      <w:r w:rsidRPr="008C0FB5">
        <w:rPr>
          <w:rFonts w:hint="cs"/>
          <w:rtl/>
        </w:rPr>
        <w:t>، إذا كان التصرف بعوض ويكون التصرف منطوياً على غش إذا علم المدين بإحاطة الدين بماله، ويكون الطرف الآخر متواطئاً في الغش إذا كان يعلم أو بإمكانه أن يعلم بإعسار المدين، وذلك لأن علم المدين قرينة على توافر قصد الإضرار ولكن هذه القرينة قرينة بسيطة قابلة لإثبات العكس، إذ يستطيع المدين أن يثبت انه بالرغم من علمه بإعساره إلا انه لم يقصد الإضرار بدائنيه بل كان الدافع له على التعاقد باعثاً آخر كتحسين حالته المادية، أما في حالة التبرع فلا يشترط الغش عند المدين ولا حسن نية الطرف الآخر لعدم نفاذه بوجه الدائن، وذلك لأن المشرع العراقي قد قدم مصلحة الدائن على مصلحة المتبرع له تطبيقاً لقاعدة درء المفاسد أولى من جلب المصالح</w:t>
      </w:r>
      <w:r w:rsidRPr="008C0FB5">
        <w:rPr>
          <w:rFonts w:cs="Saihat" w:hint="cs"/>
          <w:vertAlign w:val="superscript"/>
          <w:rtl/>
        </w:rPr>
        <w:t>(</w:t>
      </w:r>
      <w:r w:rsidRPr="008C0FB5">
        <w:rPr>
          <w:rStyle w:val="af0"/>
          <w:rFonts w:cs="Saihat"/>
          <w:sz w:val="30"/>
          <w:rtl/>
        </w:rPr>
        <w:footnoteReference w:id="122"/>
      </w:r>
      <w:r w:rsidRPr="008C0FB5">
        <w:rPr>
          <w:rFonts w:cs="Saihat" w:hint="cs"/>
          <w:vertAlign w:val="superscript"/>
          <w:rtl/>
        </w:rPr>
        <w:t>)</w:t>
      </w:r>
      <w:r w:rsidRPr="008C0FB5">
        <w:rPr>
          <w:rFonts w:hint="cs"/>
          <w:rtl/>
        </w:rPr>
        <w:t xml:space="preserve">، وعلى الرغم من ذلك كله يتبين لنا هنا ان الجزاء المترتب على الباعث السيء لدى المدين هو عكس ما أراد الوصول إليه </w:t>
      </w:r>
      <w:r w:rsidRPr="008C0FB5">
        <w:rPr>
          <w:rFonts w:ascii="Times New Roman" w:hAnsi="Times New Roman" w:cs="Times New Roman" w:hint="cs"/>
          <w:rtl/>
        </w:rPr>
        <w:t>–</w:t>
      </w:r>
      <w:r w:rsidRPr="008C0FB5">
        <w:rPr>
          <w:rFonts w:hint="cs"/>
          <w:rtl/>
        </w:rPr>
        <w:t xml:space="preserve"> وهو تهريب أمواله إضراراً بالدائن </w:t>
      </w:r>
      <w:r w:rsidRPr="008C0FB5">
        <w:rPr>
          <w:rFonts w:ascii="Times New Roman" w:hAnsi="Times New Roman" w:cs="Times New Roman" w:hint="cs"/>
          <w:rtl/>
        </w:rPr>
        <w:t>–</w:t>
      </w:r>
      <w:r w:rsidRPr="008C0FB5">
        <w:rPr>
          <w:rFonts w:hint="cs"/>
          <w:rtl/>
        </w:rPr>
        <w:t xml:space="preserve"> أي عدم نفاذ هذا التصرف في مواجهة الدائن وتبقى هذه الأموال المتصرف فيها داخلة في ذمة المتصرف </w:t>
      </w:r>
      <w:r w:rsidRPr="008C0FB5">
        <w:rPr>
          <w:rFonts w:ascii="Times New Roman" w:hAnsi="Times New Roman" w:cs="Times New Roman" w:hint="cs"/>
          <w:rtl/>
        </w:rPr>
        <w:t>–</w:t>
      </w:r>
      <w:r w:rsidRPr="008C0FB5">
        <w:rPr>
          <w:rFonts w:hint="cs"/>
          <w:rtl/>
        </w:rPr>
        <w:t xml:space="preserve"> المدين </w:t>
      </w:r>
      <w:r w:rsidRPr="008C0FB5">
        <w:rPr>
          <w:rFonts w:ascii="Times New Roman" w:hAnsi="Times New Roman" w:cs="Times New Roman" w:hint="cs"/>
          <w:rtl/>
        </w:rPr>
        <w:t>–</w:t>
      </w:r>
      <w:r w:rsidRPr="008C0FB5">
        <w:rPr>
          <w:rFonts w:cs="Saihat" w:hint="cs"/>
          <w:vertAlign w:val="superscript"/>
          <w:rtl/>
        </w:rPr>
        <w:t>(</w:t>
      </w:r>
      <w:r w:rsidRPr="008C0FB5">
        <w:rPr>
          <w:rStyle w:val="af0"/>
          <w:rFonts w:cs="Saihat"/>
          <w:sz w:val="30"/>
          <w:rtl/>
        </w:rPr>
        <w:footnoteReference w:id="123"/>
      </w:r>
      <w:r w:rsidRPr="008C0FB5">
        <w:rPr>
          <w:rFonts w:cs="Saihat" w:hint="cs"/>
          <w:vertAlign w:val="superscript"/>
          <w:rtl/>
        </w:rPr>
        <w:t>)</w:t>
      </w:r>
      <w:r w:rsidRPr="008C0FB5">
        <w:rPr>
          <w:rFonts w:hint="cs"/>
          <w:rtl/>
        </w:rPr>
        <w:t>.</w:t>
      </w:r>
    </w:p>
    <w:p w14:paraId="397BDFBE" w14:textId="77777777" w:rsidR="00763506" w:rsidRPr="008C0FB5" w:rsidRDefault="00763506" w:rsidP="00EE4C46">
      <w:pPr>
        <w:pStyle w:val="48"/>
        <w:rPr>
          <w:rFonts w:hint="cs"/>
          <w:b/>
          <w:bCs/>
          <w:rtl/>
        </w:rPr>
      </w:pPr>
      <w:r w:rsidRPr="008C0FB5">
        <w:rPr>
          <w:rFonts w:hint="cs"/>
          <w:b/>
          <w:bCs/>
          <w:rtl/>
        </w:rPr>
        <w:t>ثانياً: تعسف المالك باستعمال الحق:</w:t>
      </w:r>
    </w:p>
    <w:p w14:paraId="60434DD8" w14:textId="77777777" w:rsidR="00763506" w:rsidRPr="008C0FB5" w:rsidRDefault="00763506" w:rsidP="00C35031">
      <w:pPr>
        <w:pStyle w:val="48"/>
        <w:rPr>
          <w:rFonts w:hint="cs"/>
          <w:rtl/>
        </w:rPr>
      </w:pPr>
      <w:r w:rsidRPr="008C0FB5">
        <w:rPr>
          <w:rFonts w:hint="cs"/>
          <w:rtl/>
        </w:rPr>
        <w:t xml:space="preserve">للمالك أن يبرم في ملكه ما يشاء من العقود، غير ان القانون قد قيد من هذه الفكرة بما يسمى بفكرة التعسف باستعمال الحق، إذ لا يجوز للمالك أن يبرم عقوداً لا يقصد من وراء إبرامها إلا الإضرار بشخص الث وقد يقترن ذلك بفكرة جلب المنفعة إلا انه غالباً ما يلجأ القضاء إلى استخلاص هذا الباعث السيء من انعدام المصلحة كقرينة قضائية بسيطة على سوء الباعث لدى صاحب الحق </w:t>
      </w:r>
      <w:r w:rsidRPr="008C0FB5">
        <w:rPr>
          <w:rFonts w:ascii="Times New Roman" w:hAnsi="Times New Roman" w:cs="Times New Roman" w:hint="cs"/>
          <w:rtl/>
        </w:rPr>
        <w:t>–</w:t>
      </w:r>
      <w:r w:rsidRPr="008C0FB5">
        <w:rPr>
          <w:rFonts w:hint="cs"/>
          <w:rtl/>
        </w:rPr>
        <w:t xml:space="preserve"> المتعاقد </w:t>
      </w:r>
      <w:r w:rsidRPr="008C0FB5">
        <w:rPr>
          <w:rFonts w:ascii="Times New Roman" w:hAnsi="Times New Roman" w:cs="Times New Roman" w:hint="cs"/>
          <w:rtl/>
        </w:rPr>
        <w:t>–</w:t>
      </w:r>
      <w:r w:rsidRPr="008C0FB5">
        <w:rPr>
          <w:rFonts w:hint="cs"/>
          <w:rtl/>
        </w:rPr>
        <w:t xml:space="preserve"> كأن يعير شخص اسمه إلى إحدى الشركات التجارية بقصد اختلاك البضائع التي تنتجها ببضائع شكة أخرى تحمل نفس </w:t>
      </w:r>
      <w:proofErr w:type="gramStart"/>
      <w:r w:rsidRPr="008C0FB5">
        <w:rPr>
          <w:rFonts w:hint="cs"/>
          <w:rtl/>
        </w:rPr>
        <w:t>اسمه</w:t>
      </w:r>
      <w:r w:rsidRPr="008C0FB5">
        <w:rPr>
          <w:rFonts w:cs="Saihat" w:hint="cs"/>
          <w:vertAlign w:val="superscript"/>
          <w:rtl/>
        </w:rPr>
        <w:t>(</w:t>
      </w:r>
      <w:proofErr w:type="gramEnd"/>
      <w:r w:rsidRPr="008C0FB5">
        <w:rPr>
          <w:rStyle w:val="af0"/>
          <w:rFonts w:cs="Saihat"/>
          <w:sz w:val="30"/>
          <w:rtl/>
        </w:rPr>
        <w:footnoteReference w:id="124"/>
      </w:r>
      <w:r w:rsidRPr="008C0FB5">
        <w:rPr>
          <w:rFonts w:cs="Saihat" w:hint="cs"/>
          <w:vertAlign w:val="superscript"/>
          <w:rtl/>
        </w:rPr>
        <w:t>)</w:t>
      </w:r>
      <w:r w:rsidRPr="008C0FB5">
        <w:rPr>
          <w:rFonts w:hint="cs"/>
          <w:rtl/>
        </w:rPr>
        <w:t>.</w:t>
      </w:r>
    </w:p>
    <w:p w14:paraId="110E3ECC" w14:textId="77777777" w:rsidR="00763506" w:rsidRPr="008C0FB5" w:rsidRDefault="00763506" w:rsidP="00C35031">
      <w:pPr>
        <w:pStyle w:val="35"/>
        <w:rPr>
          <w:rFonts w:hint="cs"/>
          <w:rtl/>
        </w:rPr>
      </w:pPr>
      <w:r w:rsidRPr="008C0FB5">
        <w:rPr>
          <w:rFonts w:hint="cs"/>
          <w:rtl/>
        </w:rPr>
        <w:t xml:space="preserve">وبصفة عامة فان المضرور هو الذي يثبت ان الفاعل لم يقصد من استعمال حقه غير </w:t>
      </w:r>
      <w:r w:rsidRPr="008C0FB5">
        <w:rPr>
          <w:rFonts w:hint="cs"/>
          <w:rtl/>
        </w:rPr>
        <w:lastRenderedPageBreak/>
        <w:t>الإضرار به.</w:t>
      </w:r>
    </w:p>
    <w:p w14:paraId="6A8BDE17" w14:textId="77777777" w:rsidR="00763506" w:rsidRPr="008C0FB5" w:rsidRDefault="00763506" w:rsidP="00C35031">
      <w:pPr>
        <w:pStyle w:val="35"/>
        <w:rPr>
          <w:rFonts w:hint="cs"/>
          <w:rtl/>
        </w:rPr>
      </w:pPr>
      <w:r w:rsidRPr="008C0FB5">
        <w:rPr>
          <w:rFonts w:hint="cs"/>
          <w:rtl/>
        </w:rPr>
        <w:t>ولكن هل ان إبرام العقود تعسفاً يوجب بطلان هذه العقود؟</w:t>
      </w:r>
    </w:p>
    <w:p w14:paraId="12D40B39" w14:textId="77777777" w:rsidR="00763506" w:rsidRPr="008C0FB5" w:rsidRDefault="00763506" w:rsidP="00C35031">
      <w:pPr>
        <w:pStyle w:val="35"/>
        <w:rPr>
          <w:rFonts w:hint="cs"/>
          <w:rtl/>
        </w:rPr>
      </w:pPr>
      <w:r w:rsidRPr="008C0FB5">
        <w:rPr>
          <w:rFonts w:hint="cs"/>
          <w:rtl/>
        </w:rPr>
        <w:t>الجواب يكون بالنفي ذلك ان التعسف باستعمال الحق جزاءه الضمان وهو مصطلح إسلامي يعبّر عنه القانون بالمسؤولية المدنية وهي هنا مسؤولية تقصيرية، أي انه يجوز للمتعسف ضده من المطالبة إما بالتنفيذ العيني أو بالتعويض، والتنفيذ العيني هو إزالة الشيء محل الضرر الذي قام به المتعسف باستعمال الحق أما التعويض فهو مبلغ مالي يطالب به المتعسف ضده جراء الإضرار التي أصابته من تعسف المالك باستعمال حقه.</w:t>
      </w:r>
    </w:p>
    <w:p w14:paraId="6BBF4EA4" w14:textId="77777777" w:rsidR="00763506" w:rsidRPr="008C0FB5" w:rsidRDefault="00763506" w:rsidP="00C35031">
      <w:pPr>
        <w:pStyle w:val="35"/>
        <w:rPr>
          <w:rFonts w:hint="cs"/>
          <w:rtl/>
        </w:rPr>
      </w:pPr>
      <w:r w:rsidRPr="008C0FB5">
        <w:rPr>
          <w:rFonts w:hint="cs"/>
          <w:rtl/>
        </w:rPr>
        <w:t xml:space="preserve">هذا من جانب ومن جانب آخر قد يكون الغرض الذي يقصده وهو الإضرار ليس هو الباعث الرئيسي وإنما إلى باعث أبعد من ذلك وهو حمل المضرور على تنفيذ أمر معين لصالح المتعسف باستعمال الحق كأن يقوم مالك عمارة يؤجر شققها بشراء حيوانات شرسة ووضعها أمام العمارة لحمل المستأجرين على ترك شققهم، وذلك لغرض تأجيرها مرة أخرى ببدل </w:t>
      </w:r>
      <w:proofErr w:type="gramStart"/>
      <w:r w:rsidRPr="008C0FB5">
        <w:rPr>
          <w:rFonts w:hint="cs"/>
          <w:rtl/>
        </w:rPr>
        <w:t>أكبر</w:t>
      </w:r>
      <w:r w:rsidRPr="008C0FB5">
        <w:rPr>
          <w:rFonts w:cs="Saihat" w:hint="cs"/>
          <w:vertAlign w:val="superscript"/>
          <w:rtl/>
        </w:rPr>
        <w:t>(</w:t>
      </w:r>
      <w:proofErr w:type="gramEnd"/>
      <w:r w:rsidRPr="008C0FB5">
        <w:rPr>
          <w:rStyle w:val="af0"/>
          <w:rFonts w:cs="Saihat"/>
          <w:sz w:val="30"/>
          <w:rtl/>
        </w:rPr>
        <w:footnoteReference w:id="125"/>
      </w:r>
      <w:r w:rsidRPr="008C0FB5">
        <w:rPr>
          <w:rFonts w:cs="Saihat" w:hint="cs"/>
          <w:vertAlign w:val="superscript"/>
          <w:rtl/>
        </w:rPr>
        <w:t>)</w:t>
      </w:r>
      <w:r w:rsidRPr="008C0FB5">
        <w:rPr>
          <w:rFonts w:hint="cs"/>
          <w:rtl/>
        </w:rPr>
        <w:t>.</w:t>
      </w:r>
    </w:p>
    <w:p w14:paraId="2538C79D" w14:textId="77777777" w:rsidR="00763506" w:rsidRPr="008C0FB5" w:rsidRDefault="00763506" w:rsidP="00C35031">
      <w:pPr>
        <w:pStyle w:val="35"/>
        <w:rPr>
          <w:rFonts w:hint="cs"/>
          <w:rtl/>
        </w:rPr>
      </w:pPr>
      <w:r w:rsidRPr="008C0FB5">
        <w:rPr>
          <w:rFonts w:hint="cs"/>
          <w:rtl/>
        </w:rPr>
        <w:t xml:space="preserve">هذه الفكرة وهي فكرة التعسف باستعمال الحق لا تخرج عن كونها تطبيقاً من تطبيقات الباعث السيء لدى صاحب </w:t>
      </w:r>
      <w:proofErr w:type="gramStart"/>
      <w:r w:rsidRPr="008C0FB5">
        <w:rPr>
          <w:rFonts w:hint="cs"/>
          <w:rtl/>
        </w:rPr>
        <w:t>الحق</w:t>
      </w:r>
      <w:proofErr w:type="gramEnd"/>
      <w:r w:rsidRPr="008C0FB5">
        <w:rPr>
          <w:rFonts w:hint="cs"/>
          <w:rtl/>
        </w:rPr>
        <w:t xml:space="preserve"> ولكن هذا الباعث لسيء غير مخالف للنظام العام والآداب العامة وإنما هو سيء لمخالفته للقوانين الموجودة لحماية المصالح الخاصة للمواطنين وكذلك فان جزاء هذه المخالفة ليس واحداً في جميع الحالات ونما هو يقدر بالنسبة لكل حال على حدة فقد يكون الجزاء هو التنفيذ العيني </w:t>
      </w:r>
      <w:r w:rsidRPr="008C0FB5">
        <w:rPr>
          <w:rFonts w:ascii="Times New Roman" w:hAnsi="Times New Roman" w:cs="Times New Roman" w:hint="cs"/>
          <w:rtl/>
        </w:rPr>
        <w:t>–</w:t>
      </w:r>
      <w:r w:rsidRPr="008C0FB5">
        <w:rPr>
          <w:rFonts w:hint="cs"/>
          <w:rtl/>
        </w:rPr>
        <w:t xml:space="preserve"> كما ذكرنا سابقاً </w:t>
      </w:r>
      <w:r w:rsidRPr="008C0FB5">
        <w:rPr>
          <w:rFonts w:ascii="Times New Roman" w:hAnsi="Times New Roman" w:cs="Times New Roman" w:hint="cs"/>
          <w:rtl/>
        </w:rPr>
        <w:t>–</w:t>
      </w:r>
      <w:r w:rsidRPr="008C0FB5">
        <w:rPr>
          <w:rFonts w:hint="cs"/>
          <w:rtl/>
        </w:rPr>
        <w:t xml:space="preserve"> وقد يكون تعويضاً مناسباً للضرر الواقع.</w:t>
      </w:r>
    </w:p>
    <w:p w14:paraId="0E4EAA61" w14:textId="77777777" w:rsidR="00763506" w:rsidRPr="008C0FB5" w:rsidRDefault="00763506" w:rsidP="00C35031">
      <w:pPr>
        <w:pStyle w:val="35"/>
        <w:rPr>
          <w:rFonts w:hint="cs"/>
          <w:rtl/>
        </w:rPr>
      </w:pPr>
      <w:r w:rsidRPr="008C0FB5">
        <w:rPr>
          <w:rFonts w:hint="cs"/>
          <w:rtl/>
        </w:rPr>
        <w:t xml:space="preserve">وعلى كل حال فان المشروعية بمفهومها عدم الإضرار بالمصالح الخاصة قررت لمصلحة شخص معين وهو المتعسف ضده، وله </w:t>
      </w:r>
      <w:proofErr w:type="gramStart"/>
      <w:r w:rsidRPr="008C0FB5">
        <w:rPr>
          <w:rFonts w:hint="cs"/>
          <w:rtl/>
        </w:rPr>
        <w:t>أن لا</w:t>
      </w:r>
      <w:proofErr w:type="gramEnd"/>
      <w:r w:rsidRPr="008C0FB5">
        <w:rPr>
          <w:rFonts w:hint="cs"/>
          <w:rtl/>
        </w:rPr>
        <w:t xml:space="preserve"> يتمسك بهذه الفكرة ويتنازل عن حقه بالمطالبة بالضمان.</w:t>
      </w:r>
    </w:p>
    <w:p w14:paraId="7AEB04A1" w14:textId="77777777" w:rsidR="00763506" w:rsidRPr="008C0FB5" w:rsidRDefault="00202833" w:rsidP="00EE4C46">
      <w:pPr>
        <w:pStyle w:val="a1"/>
        <w:rPr>
          <w:rFonts w:hint="cs"/>
          <w:rtl/>
        </w:rPr>
      </w:pPr>
      <w:r w:rsidRPr="008C0FB5">
        <w:rPr>
          <w:rtl/>
        </w:rPr>
        <w:br w:type="page"/>
      </w:r>
      <w:bookmarkStart w:id="62" w:name="_Toc8643654"/>
      <w:r w:rsidR="00763506" w:rsidRPr="008C0FB5">
        <w:rPr>
          <w:rFonts w:hint="cs"/>
          <w:rtl/>
        </w:rPr>
        <w:lastRenderedPageBreak/>
        <w:t>المطلب الثالث: تصحيح الباعث</w:t>
      </w:r>
      <w:bookmarkEnd w:id="62"/>
    </w:p>
    <w:p w14:paraId="251D99F0" w14:textId="77777777" w:rsidR="00763506" w:rsidRPr="008C0FB5" w:rsidRDefault="00763506" w:rsidP="00C35031">
      <w:pPr>
        <w:pStyle w:val="48"/>
        <w:rPr>
          <w:rFonts w:hint="cs"/>
          <w:rtl/>
        </w:rPr>
      </w:pPr>
      <w:r w:rsidRPr="008C0FB5">
        <w:rPr>
          <w:rFonts w:hint="cs"/>
          <w:rtl/>
        </w:rPr>
        <w:t>إن الغرض الأساسي من بطلان العقود المخالفة للنظام العام والآداب هو حماية هذا النظام وهذه الآداب من الخرق، فإذا أمكننا تلافي هذه النتيجة دون اللجوء إلى بطلان العقد ألا يمكن أن يبقى صحيحاً مع تعديل المخالفة؟</w:t>
      </w:r>
    </w:p>
    <w:p w14:paraId="7BA752FE" w14:textId="77777777" w:rsidR="00763506" w:rsidRPr="008C0FB5" w:rsidRDefault="00763506" w:rsidP="00C35031">
      <w:pPr>
        <w:pStyle w:val="35"/>
        <w:rPr>
          <w:rFonts w:hint="cs"/>
          <w:rtl/>
        </w:rPr>
      </w:pPr>
      <w:r w:rsidRPr="008C0FB5">
        <w:rPr>
          <w:rFonts w:hint="cs"/>
          <w:rtl/>
        </w:rPr>
        <w:t>الجواب يكون بالإمكان طبعاً وذلك لأن بطلان العقود لا يمكن اللجوء إليه إلا في الحالات التي لا يمكن تصحيح العقد فيها، ولإيضاح أكثر نعرض لهذه الحالة.</w:t>
      </w:r>
    </w:p>
    <w:p w14:paraId="5D27CD10" w14:textId="77777777" w:rsidR="00763506" w:rsidRPr="008C0FB5" w:rsidRDefault="00763506" w:rsidP="00C35031">
      <w:pPr>
        <w:pStyle w:val="35"/>
        <w:rPr>
          <w:rFonts w:hint="cs"/>
          <w:rtl/>
        </w:rPr>
      </w:pPr>
      <w:r w:rsidRPr="008C0FB5">
        <w:rPr>
          <w:rFonts w:hint="cs"/>
          <w:rtl/>
        </w:rPr>
        <w:t xml:space="preserve">في بعض الأحيان يقوم شخص بإبرام عقد تأمين على الحياة لمصلحة الخليلة وذلك لغرض تحريضها على إنشاء علاقة غير مشروعة معه أو لغرض استمرار هذه العلاقة، ومن المعروف لدينا ان مثل هذا العقد باطل لمخالفته للآداب </w:t>
      </w:r>
      <w:proofErr w:type="gramStart"/>
      <w:r w:rsidRPr="008C0FB5">
        <w:rPr>
          <w:rFonts w:hint="cs"/>
          <w:rtl/>
        </w:rPr>
        <w:t>العامة</w:t>
      </w:r>
      <w:r w:rsidRPr="008C0FB5">
        <w:rPr>
          <w:rFonts w:cs="Saihat" w:hint="cs"/>
          <w:vertAlign w:val="superscript"/>
          <w:rtl/>
        </w:rPr>
        <w:t>(</w:t>
      </w:r>
      <w:proofErr w:type="gramEnd"/>
      <w:r w:rsidRPr="008C0FB5">
        <w:rPr>
          <w:rStyle w:val="af0"/>
          <w:rFonts w:cs="Saihat"/>
          <w:sz w:val="30"/>
          <w:rtl/>
        </w:rPr>
        <w:footnoteReference w:id="126"/>
      </w:r>
      <w:r w:rsidRPr="008C0FB5">
        <w:rPr>
          <w:rFonts w:cs="Saihat" w:hint="cs"/>
          <w:vertAlign w:val="superscript"/>
          <w:rtl/>
        </w:rPr>
        <w:t>)</w:t>
      </w:r>
      <w:r w:rsidRPr="008C0FB5">
        <w:rPr>
          <w:rFonts w:hint="cs"/>
          <w:rtl/>
        </w:rPr>
        <w:t xml:space="preserve"> ولكن هذا الأمر متى يثار؟</w:t>
      </w:r>
    </w:p>
    <w:p w14:paraId="5AF2C324" w14:textId="77777777" w:rsidR="00763506" w:rsidRPr="008C0FB5" w:rsidRDefault="00763506" w:rsidP="00C35031">
      <w:pPr>
        <w:pStyle w:val="35"/>
        <w:rPr>
          <w:rFonts w:hint="cs"/>
          <w:rtl/>
        </w:rPr>
      </w:pPr>
      <w:r w:rsidRPr="008C0FB5">
        <w:rPr>
          <w:rFonts w:hint="cs"/>
          <w:rtl/>
        </w:rPr>
        <w:t>للجواب على هذا السؤال يجب التفرقة بين الفرضين التاليين:</w:t>
      </w:r>
    </w:p>
    <w:p w14:paraId="2E351E3C" w14:textId="77777777" w:rsidR="00763506" w:rsidRPr="008C0FB5" w:rsidRDefault="00763506" w:rsidP="007A1F34">
      <w:pPr>
        <w:pStyle w:val="48"/>
        <w:numPr>
          <w:ilvl w:val="0"/>
          <w:numId w:val="21"/>
        </w:numPr>
        <w:rPr>
          <w:rFonts w:hint="cs"/>
          <w:rtl/>
        </w:rPr>
      </w:pPr>
      <w:r w:rsidRPr="008C0FB5">
        <w:rPr>
          <w:rFonts w:hint="cs"/>
          <w:b/>
          <w:bCs/>
          <w:rtl/>
        </w:rPr>
        <w:t>الفرض الأول:</w:t>
      </w:r>
      <w:r w:rsidRPr="008C0FB5">
        <w:rPr>
          <w:rFonts w:hint="cs"/>
          <w:rtl/>
        </w:rPr>
        <w:t xml:space="preserve"> وهو حالة ما إذا أُير النزاع أثناء إبرام العقد ورفضت شركة التأمين إبرام العقد لعدم مشروعية باعثه ففي هذه الحالة لا يوجد محلاً للنزاع لأن العقد لم يبرم بعد.</w:t>
      </w:r>
    </w:p>
    <w:p w14:paraId="46D5BBB0" w14:textId="77777777" w:rsidR="00763506" w:rsidRPr="008C0FB5" w:rsidRDefault="00763506" w:rsidP="007A1F34">
      <w:pPr>
        <w:pStyle w:val="48"/>
        <w:numPr>
          <w:ilvl w:val="0"/>
          <w:numId w:val="21"/>
        </w:numPr>
        <w:rPr>
          <w:rFonts w:hint="cs"/>
          <w:rtl/>
        </w:rPr>
      </w:pPr>
      <w:r w:rsidRPr="008C0FB5">
        <w:rPr>
          <w:rFonts w:hint="cs"/>
          <w:b/>
          <w:bCs/>
          <w:rtl/>
        </w:rPr>
        <w:t>الفرض الثاني:</w:t>
      </w:r>
      <w:r w:rsidRPr="008C0FB5">
        <w:rPr>
          <w:rFonts w:hint="cs"/>
          <w:rtl/>
        </w:rPr>
        <w:t xml:space="preserve"> وهو حالة ما إذا أبرم العقد والتزم المؤمن له بدفع أقساط التأمين كاملة وبعد وفاته تقدمت الخليلة إلى شركة التأمين مطالبة بمبلغ التأمين ورفضت الشركة تسليم مبلغ التأمين إلى الخليلة مستندة إلى الباعث غير المشروع لدى المؤمن له فهل يحق لها هذا الدافع؟</w:t>
      </w:r>
    </w:p>
    <w:p w14:paraId="108E2B41" w14:textId="77777777" w:rsidR="00763506" w:rsidRPr="008C0FB5" w:rsidRDefault="00763506" w:rsidP="00C35031">
      <w:pPr>
        <w:pStyle w:val="35"/>
        <w:rPr>
          <w:rFonts w:hint="cs"/>
          <w:rtl/>
        </w:rPr>
      </w:pPr>
      <w:r w:rsidRPr="008C0FB5">
        <w:rPr>
          <w:rFonts w:hint="cs"/>
          <w:rtl/>
        </w:rPr>
        <w:t>في هذه الحالة ان المؤمن له قام بدفع الأقساط كاملة وان شركة التأمين دفعت بوجه الخليلة بالباعث غير المشروع لدى المؤمن له، فهل يجوز لها أن تستفيد من مبلغ الأقساط دون تعويض مقابل عن الوفاة التي حصلت؟</w:t>
      </w:r>
    </w:p>
    <w:p w14:paraId="391E07B3" w14:textId="77777777" w:rsidR="00763506" w:rsidRPr="008C0FB5" w:rsidRDefault="00763506" w:rsidP="00C35031">
      <w:pPr>
        <w:pStyle w:val="35"/>
        <w:rPr>
          <w:rFonts w:hint="cs"/>
          <w:rtl/>
        </w:rPr>
      </w:pPr>
      <w:r w:rsidRPr="008C0FB5">
        <w:rPr>
          <w:rFonts w:hint="cs"/>
          <w:rtl/>
        </w:rPr>
        <w:t>لقد ذهب البعض إلى ان البطلان هنا يقتصر على الاشتراط لمصلحة الخليلة ويبقى بعد ذلك عقد التأمين صحيحاً في العلاقة بين شركة التأمين والمؤمن له</w:t>
      </w:r>
      <w:r w:rsidRPr="008C0FB5">
        <w:rPr>
          <w:rFonts w:hint="cs"/>
          <w:vertAlign w:val="superscript"/>
          <w:rtl/>
        </w:rPr>
        <w:t xml:space="preserve"> </w:t>
      </w:r>
      <w:r w:rsidRPr="008C0FB5">
        <w:rPr>
          <w:rFonts w:hint="cs"/>
          <w:rtl/>
        </w:rPr>
        <w:t xml:space="preserve">ويكون للورثة أن يعينوا مستفيداً آخر وإلا آل مبلغ التأمين إلى التركة.  </w:t>
      </w:r>
    </w:p>
    <w:p w14:paraId="501A2283" w14:textId="77777777" w:rsidR="00763506" w:rsidRPr="008C0FB5" w:rsidRDefault="00763506" w:rsidP="00C35031">
      <w:pPr>
        <w:pStyle w:val="35"/>
        <w:rPr>
          <w:rFonts w:hint="cs"/>
          <w:rtl/>
        </w:rPr>
      </w:pPr>
      <w:r w:rsidRPr="008C0FB5">
        <w:rPr>
          <w:rFonts w:hint="cs"/>
          <w:rtl/>
        </w:rPr>
        <w:t xml:space="preserve">ونحن نؤيد هذا النظر على أساس ما نص عليه القانون في (المادة 139 مدني عراقي) من انه إذا كان العقد في شق منه باطلاً فهذا الشق وحده هو الذي يبطل أما الباقي من العقد فيظل صحيحاً باعتباره عقداً مستقلاً إلا إذا تبين ان العقد ما كان ليتم بغير هذا الشرط الذي وقع باطلاً، والمعلوم ان بطلان أو نقض الاشتراط لمصلحة الغير لا يبرئ المتعهد قبل المشترط فللمشترط أو لخلفه العام أن يعين منتفعاً آخر وإلا آل مبلغ التأمين إلى </w:t>
      </w:r>
      <w:proofErr w:type="gramStart"/>
      <w:r w:rsidRPr="008C0FB5">
        <w:rPr>
          <w:rFonts w:hint="cs"/>
          <w:rtl/>
        </w:rPr>
        <w:t>التركة</w:t>
      </w:r>
      <w:r w:rsidRPr="008C0FB5">
        <w:rPr>
          <w:rFonts w:cs="Saihat" w:hint="cs"/>
          <w:vertAlign w:val="superscript"/>
          <w:rtl/>
        </w:rPr>
        <w:t>(</w:t>
      </w:r>
      <w:proofErr w:type="gramEnd"/>
      <w:r w:rsidRPr="008C0FB5">
        <w:rPr>
          <w:rStyle w:val="af0"/>
          <w:rFonts w:cs="Saihat"/>
          <w:sz w:val="30"/>
          <w:rtl/>
        </w:rPr>
        <w:footnoteReference w:id="127"/>
      </w:r>
      <w:r w:rsidRPr="008C0FB5">
        <w:rPr>
          <w:rFonts w:cs="Saihat" w:hint="cs"/>
          <w:vertAlign w:val="superscript"/>
          <w:rtl/>
        </w:rPr>
        <w:t>)</w:t>
      </w:r>
      <w:r w:rsidRPr="008C0FB5">
        <w:rPr>
          <w:rFonts w:hint="cs"/>
          <w:rtl/>
        </w:rPr>
        <w:t>.</w:t>
      </w:r>
    </w:p>
    <w:p w14:paraId="15AAD62E" w14:textId="77777777" w:rsidR="00763506" w:rsidRPr="008C0FB5" w:rsidRDefault="00763506" w:rsidP="00EE4C46">
      <w:pPr>
        <w:pStyle w:val="35"/>
        <w:rPr>
          <w:rtl/>
        </w:rPr>
      </w:pPr>
      <w:r w:rsidRPr="008C0FB5">
        <w:rPr>
          <w:rFonts w:hint="cs"/>
          <w:rtl/>
        </w:rPr>
        <w:t xml:space="preserve">وهذا كله إذا كان السبب الباعث في عقد التأمين هو تحريض الخليلة على إنشاء العلاقة غير المشروعة أو استمرارها، أما إذا كان الباعث هو تعويض الخليلة عما لحقها من ضرر بسبب قطع العلاقة غير المشروعة فان التأمين هنا يكون </w:t>
      </w:r>
      <w:proofErr w:type="gramStart"/>
      <w:r w:rsidRPr="008C0FB5">
        <w:rPr>
          <w:rFonts w:hint="cs"/>
          <w:rtl/>
        </w:rPr>
        <w:t>مشروعاً</w:t>
      </w:r>
      <w:r w:rsidRPr="008C0FB5">
        <w:rPr>
          <w:rFonts w:cs="Saihat" w:hint="cs"/>
          <w:vertAlign w:val="superscript"/>
          <w:rtl/>
        </w:rPr>
        <w:t>(</w:t>
      </w:r>
      <w:proofErr w:type="gramEnd"/>
      <w:r w:rsidRPr="008C0FB5">
        <w:rPr>
          <w:rStyle w:val="af0"/>
          <w:rFonts w:cs="Saihat"/>
          <w:sz w:val="30"/>
          <w:rtl/>
        </w:rPr>
        <w:footnoteReference w:id="128"/>
      </w:r>
      <w:r w:rsidRPr="008C0FB5">
        <w:rPr>
          <w:rFonts w:cs="Saihat" w:hint="cs"/>
          <w:vertAlign w:val="superscript"/>
          <w:rtl/>
        </w:rPr>
        <w:t>)</w:t>
      </w:r>
      <w:r w:rsidRPr="008C0FB5">
        <w:rPr>
          <w:rFonts w:hint="cs"/>
          <w:rtl/>
        </w:rPr>
        <w:t xml:space="preserve"> والأمر كذلك إذا كان المؤمن له </w:t>
      </w:r>
      <w:r w:rsidRPr="008C0FB5">
        <w:rPr>
          <w:rFonts w:hint="cs"/>
          <w:rtl/>
        </w:rPr>
        <w:lastRenderedPageBreak/>
        <w:t>قد عقد العزم على الزواج بها</w:t>
      </w:r>
      <w:r w:rsidRPr="008C0FB5">
        <w:rPr>
          <w:rFonts w:cs="Saihat" w:hint="cs"/>
          <w:vertAlign w:val="superscript"/>
          <w:rtl/>
        </w:rPr>
        <w:t>(</w:t>
      </w:r>
      <w:r w:rsidRPr="008C0FB5">
        <w:rPr>
          <w:rStyle w:val="af0"/>
          <w:rFonts w:cs="Saihat"/>
          <w:sz w:val="30"/>
          <w:rtl/>
        </w:rPr>
        <w:footnoteReference w:id="129"/>
      </w:r>
      <w:r w:rsidRPr="008C0FB5">
        <w:rPr>
          <w:rFonts w:cs="Saihat" w:hint="cs"/>
          <w:vertAlign w:val="superscript"/>
          <w:rtl/>
        </w:rPr>
        <w:t>)</w:t>
      </w:r>
      <w:r w:rsidRPr="008C0FB5">
        <w:rPr>
          <w:rFonts w:hint="cs"/>
          <w:rtl/>
        </w:rPr>
        <w:t xml:space="preserve">. </w:t>
      </w:r>
      <w:r w:rsidRPr="008C0FB5">
        <w:rPr>
          <w:rtl/>
        </w:rPr>
        <w:t xml:space="preserve"> </w:t>
      </w:r>
    </w:p>
    <w:p w14:paraId="55E76D57" w14:textId="77777777" w:rsidR="005C08F2" w:rsidRDefault="005C08F2" w:rsidP="00763506">
      <w:pPr>
        <w:pStyle w:val="affffffd"/>
        <w:rPr>
          <w:rtl/>
        </w:rPr>
        <w:sectPr w:rsidR="005C08F2" w:rsidSect="00E634C5">
          <w:footnotePr>
            <w:numRestart w:val="eachPage"/>
          </w:footnotePr>
          <w:type w:val="oddPage"/>
          <w:pgSz w:w="11906" w:h="16838" w:code="9"/>
          <w:pgMar w:top="1701" w:right="1701" w:bottom="1701" w:left="1418" w:header="709" w:footer="1418" w:gutter="0"/>
          <w:cols w:space="708"/>
          <w:titlePg/>
          <w:bidi/>
          <w:rtlGutter/>
          <w:docGrid w:linePitch="360"/>
        </w:sectPr>
      </w:pPr>
    </w:p>
    <w:p w14:paraId="2A5A7926" w14:textId="77777777" w:rsidR="00763506" w:rsidRPr="008C0FB5" w:rsidRDefault="00763506" w:rsidP="00763506">
      <w:pPr>
        <w:pStyle w:val="affffffd"/>
        <w:rPr>
          <w:rtl/>
        </w:rPr>
        <w:sectPr w:rsidR="00763506" w:rsidRPr="008C0FB5" w:rsidSect="005C08F2">
          <w:footnotePr>
            <w:numRestart w:val="eachPage"/>
          </w:footnotePr>
          <w:pgSz w:w="11906" w:h="16838" w:code="9"/>
          <w:pgMar w:top="1701" w:right="1701" w:bottom="1701" w:left="1418" w:header="709" w:footer="1418" w:gutter="0"/>
          <w:cols w:space="708"/>
          <w:titlePg/>
          <w:bidi/>
          <w:rtlGutter/>
          <w:docGrid w:linePitch="360"/>
        </w:sectPr>
      </w:pPr>
    </w:p>
    <w:p w14:paraId="6BE678C6" w14:textId="379D016A" w:rsidR="00763506" w:rsidRPr="008C0FB5" w:rsidRDefault="007C3C34" w:rsidP="00763506">
      <w:pPr>
        <w:pStyle w:val="afffffff0"/>
        <w:rPr>
          <w:rFonts w:hint="cs"/>
          <w:color w:val="auto"/>
          <w:rtl/>
        </w:rPr>
      </w:pPr>
      <w:r w:rsidRPr="008C0FB5">
        <w:rPr>
          <w:noProof/>
          <w:color w:val="auto"/>
          <w:rtl/>
        </w:rPr>
        <w:lastRenderedPageBreak/>
        <w:drawing>
          <wp:anchor distT="0" distB="0" distL="114300" distR="114300" simplePos="0" relativeHeight="251662848" behindDoc="1" locked="0" layoutInCell="1" allowOverlap="1" wp14:anchorId="15E50FA8" wp14:editId="04151396">
            <wp:simplePos x="0" y="0"/>
            <wp:positionH relativeFrom="margin">
              <wp:posOffset>13970</wp:posOffset>
            </wp:positionH>
            <wp:positionV relativeFrom="page">
              <wp:posOffset>1031240</wp:posOffset>
            </wp:positionV>
            <wp:extent cx="5629910" cy="8601075"/>
            <wp:effectExtent l="0" t="0" r="0" b="0"/>
            <wp:wrapNone/>
            <wp:docPr id="176" name="Picture 29" descr="0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_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910"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43932" w14:textId="77777777" w:rsidR="00763506" w:rsidRPr="008C0FB5" w:rsidRDefault="00763506" w:rsidP="00763506">
      <w:pPr>
        <w:pStyle w:val="20"/>
        <w:rPr>
          <w:rFonts w:hint="cs"/>
          <w:rtl/>
        </w:rPr>
      </w:pPr>
    </w:p>
    <w:p w14:paraId="3402F0FB" w14:textId="77777777" w:rsidR="00202833" w:rsidRDefault="00202833" w:rsidP="00763506">
      <w:pPr>
        <w:pStyle w:val="20"/>
      </w:pPr>
    </w:p>
    <w:p w14:paraId="6FE3A167" w14:textId="77777777" w:rsidR="005C08F2" w:rsidRPr="008C0FB5" w:rsidRDefault="005C08F2" w:rsidP="00763506">
      <w:pPr>
        <w:pStyle w:val="20"/>
        <w:rPr>
          <w:rFonts w:hint="cs"/>
          <w:rtl/>
        </w:rPr>
      </w:pPr>
    </w:p>
    <w:p w14:paraId="0AB3CC8E" w14:textId="77777777" w:rsidR="00763506" w:rsidRPr="008C0FB5" w:rsidRDefault="00763506" w:rsidP="00763506">
      <w:pPr>
        <w:pStyle w:val="20"/>
      </w:pPr>
      <w:bookmarkStart w:id="63" w:name="_Toc8643655"/>
      <w:r w:rsidRPr="008C0FB5">
        <w:rPr>
          <w:rtl/>
        </w:rPr>
        <w:t>الفصل الثا</w:t>
      </w:r>
      <w:r w:rsidRPr="008C0FB5">
        <w:rPr>
          <w:rFonts w:hint="cs"/>
          <w:rtl/>
        </w:rPr>
        <w:t>لث</w:t>
      </w:r>
      <w:bookmarkEnd w:id="63"/>
    </w:p>
    <w:p w14:paraId="2EBB18DD" w14:textId="77777777" w:rsidR="00763506" w:rsidRPr="008C0FB5" w:rsidRDefault="00763506" w:rsidP="0094067A">
      <w:pPr>
        <w:pStyle w:val="20"/>
        <w:rPr>
          <w:b/>
          <w:bCs/>
        </w:rPr>
      </w:pPr>
      <w:bookmarkStart w:id="64" w:name="_Toc8643656"/>
      <w:r w:rsidRPr="008C0FB5">
        <w:rPr>
          <w:b/>
          <w:bCs/>
          <w:rtl/>
          <w:lang w:bidi="fa-IR"/>
        </w:rPr>
        <w:t>نظرية الباعث في الفقه الإسلامي</w:t>
      </w:r>
      <w:bookmarkEnd w:id="64"/>
    </w:p>
    <w:p w14:paraId="5AB58F61" w14:textId="77777777" w:rsidR="00763506" w:rsidRPr="008C0FB5" w:rsidRDefault="00763506" w:rsidP="00763506">
      <w:pPr>
        <w:pStyle w:val="20"/>
        <w:rPr>
          <w:sz w:val="72"/>
          <w:rtl/>
        </w:rPr>
      </w:pPr>
    </w:p>
    <w:p w14:paraId="024A65D1" w14:textId="77777777" w:rsidR="00763506" w:rsidRPr="00241ACF" w:rsidRDefault="00763506" w:rsidP="00763506">
      <w:pPr>
        <w:pStyle w:val="35"/>
        <w:rPr>
          <w:color w:val="FFFFFF"/>
          <w:rtl/>
        </w:rPr>
      </w:pPr>
      <w:r w:rsidRPr="00241ACF">
        <w:rPr>
          <w:color w:val="FFFFFF"/>
          <w:rtl/>
        </w:rPr>
        <w:t xml:space="preserve">ويتضمن المباحث التالية: </w:t>
      </w:r>
    </w:p>
    <w:p w14:paraId="7B30B3C7" w14:textId="77777777" w:rsidR="00763506" w:rsidRPr="00241ACF" w:rsidRDefault="00763506" w:rsidP="00763506">
      <w:pPr>
        <w:pStyle w:val="1f1"/>
        <w:ind w:left="340"/>
        <w:jc w:val="left"/>
        <w:rPr>
          <w:color w:val="FFFFFF"/>
          <w:rtl/>
          <w:lang w:bidi="ar-IQ"/>
        </w:rPr>
      </w:pPr>
      <w:r w:rsidRPr="00241ACF">
        <w:rPr>
          <w:color w:val="FFFFFF"/>
          <w:rtl/>
          <w:lang w:bidi="ar-IQ"/>
        </w:rPr>
        <w:t>المبحث الاول: تعريف مصطلحات البحث والمفاهيم المرتبطة به</w:t>
      </w:r>
    </w:p>
    <w:p w14:paraId="166DC39F" w14:textId="77777777" w:rsidR="00763506" w:rsidRPr="00241ACF" w:rsidRDefault="00763506" w:rsidP="00763506">
      <w:pPr>
        <w:pStyle w:val="1f1"/>
        <w:ind w:left="340"/>
        <w:jc w:val="left"/>
        <w:rPr>
          <w:color w:val="FFFFFF"/>
          <w:rtl/>
          <w:lang w:bidi="ar-IQ"/>
        </w:rPr>
      </w:pPr>
      <w:r w:rsidRPr="00241ACF">
        <w:rPr>
          <w:color w:val="FFFFFF"/>
          <w:rtl/>
          <w:lang w:bidi="ar-IQ"/>
        </w:rPr>
        <w:t>المبحث الثاني: الايمان والكفر في مدرسة أهل البيت</w:t>
      </w:r>
      <w:r w:rsidRPr="00241ACF">
        <w:rPr>
          <w:rFonts w:ascii="Abo-thar" w:hAnsi="Abo-thar"/>
          <w:color w:val="FFFFFF"/>
          <w:lang w:bidi="ar-IQ"/>
        </w:rPr>
        <w:t></w:t>
      </w:r>
      <w:r w:rsidRPr="00241ACF">
        <w:rPr>
          <w:color w:val="FFFFFF"/>
          <w:rtl/>
          <w:lang w:bidi="ar-IQ"/>
        </w:rPr>
        <w:t xml:space="preserve"> ومدرسة الخلفاء</w:t>
      </w:r>
    </w:p>
    <w:p w14:paraId="0BF66B94" w14:textId="77777777" w:rsidR="00763506" w:rsidRPr="00241ACF" w:rsidRDefault="00763506" w:rsidP="00763506">
      <w:pPr>
        <w:pStyle w:val="1f1"/>
        <w:ind w:left="340"/>
        <w:jc w:val="left"/>
        <w:rPr>
          <w:color w:val="FFFFFF"/>
          <w:rtl/>
          <w:lang w:bidi="ar-IQ"/>
        </w:rPr>
      </w:pPr>
      <w:r w:rsidRPr="00241ACF">
        <w:rPr>
          <w:color w:val="FFFFFF"/>
          <w:rtl/>
          <w:lang w:bidi="ar-IQ"/>
        </w:rPr>
        <w:t>المبحث الثالث: أنواع الكفر والتكفير</w:t>
      </w:r>
    </w:p>
    <w:p w14:paraId="0789C4D1" w14:textId="77777777" w:rsidR="00763506" w:rsidRPr="00241ACF" w:rsidRDefault="00763506" w:rsidP="00763506">
      <w:pPr>
        <w:pStyle w:val="1f1"/>
        <w:ind w:left="340"/>
        <w:jc w:val="left"/>
        <w:rPr>
          <w:color w:val="FFFFFF"/>
          <w:rtl/>
          <w:lang w:bidi="ar-IQ"/>
        </w:rPr>
      </w:pPr>
      <w:r w:rsidRPr="00241ACF">
        <w:rPr>
          <w:color w:val="FFFFFF"/>
          <w:rtl/>
          <w:lang w:bidi="ar-IQ"/>
        </w:rPr>
        <w:t xml:space="preserve">المبحث الرابع: طُرق مرجعية الصحابة لفهم القرآن وأثارها على مباني التيارات التكفيرية </w:t>
      </w:r>
    </w:p>
    <w:p w14:paraId="4B50344E" w14:textId="77777777" w:rsidR="00763506" w:rsidRPr="00241ACF" w:rsidRDefault="00763506" w:rsidP="00763506">
      <w:pPr>
        <w:pStyle w:val="1f1"/>
        <w:ind w:left="340"/>
        <w:jc w:val="left"/>
        <w:rPr>
          <w:rFonts w:hint="cs"/>
          <w:b/>
          <w:bCs/>
          <w:color w:val="FFFFFF"/>
          <w:sz w:val="30"/>
          <w:szCs w:val="30"/>
          <w:rtl/>
          <w:lang w:bidi="ar-IQ"/>
        </w:rPr>
      </w:pPr>
      <w:r w:rsidRPr="00241ACF">
        <w:rPr>
          <w:color w:val="FFFFFF"/>
          <w:rtl/>
          <w:lang w:bidi="ar-IQ"/>
        </w:rPr>
        <w:t>المبحث الخامس: أنواع مرجعية الصحابة في فهم القرآن</w:t>
      </w:r>
    </w:p>
    <w:p w14:paraId="5EF37EE2" w14:textId="77777777" w:rsidR="00763506" w:rsidRPr="005C08F2" w:rsidRDefault="00763506" w:rsidP="00763506">
      <w:pPr>
        <w:pStyle w:val="35"/>
        <w:rPr>
          <w:rFonts w:hint="cs"/>
          <w:rtl/>
        </w:rPr>
      </w:pPr>
    </w:p>
    <w:p w14:paraId="3E57892E" w14:textId="77777777" w:rsidR="00763506" w:rsidRPr="008C0FB5" w:rsidRDefault="00763506" w:rsidP="00763506">
      <w:pPr>
        <w:pStyle w:val="35"/>
        <w:rPr>
          <w:rFonts w:ascii="hashemi" w:eastAsia="Times New Roman" w:hAnsi="hashemi" w:cs="hashemi"/>
          <w:szCs w:val="32"/>
          <w:rtl/>
        </w:rPr>
        <w:sectPr w:rsidR="00763506" w:rsidRPr="008C0FB5" w:rsidSect="00763506">
          <w:footnotePr>
            <w:numRestart w:val="eachPage"/>
          </w:footnotePr>
          <w:pgSz w:w="11906" w:h="16838" w:code="9"/>
          <w:pgMar w:top="1701" w:right="1701" w:bottom="1701" w:left="1418" w:header="709" w:footer="1418" w:gutter="0"/>
          <w:cols w:space="708"/>
          <w:titlePg/>
          <w:bidi/>
          <w:rtlGutter/>
          <w:docGrid w:linePitch="360"/>
        </w:sectPr>
      </w:pPr>
    </w:p>
    <w:p w14:paraId="3F3684D3" w14:textId="77777777" w:rsidR="00763506" w:rsidRPr="008C0FB5" w:rsidRDefault="00763506" w:rsidP="00763506">
      <w:pPr>
        <w:pStyle w:val="35"/>
        <w:rPr>
          <w:rFonts w:ascii="hashemi" w:eastAsia="Times New Roman" w:hAnsi="hashemi" w:cs="hashemi" w:hint="cs"/>
          <w:szCs w:val="32"/>
          <w:rtl/>
        </w:rPr>
      </w:pPr>
    </w:p>
    <w:p w14:paraId="299267B3" w14:textId="77777777" w:rsidR="0094067A" w:rsidRPr="008C0FB5" w:rsidRDefault="0094067A" w:rsidP="00763506">
      <w:pPr>
        <w:pStyle w:val="35"/>
        <w:rPr>
          <w:rFonts w:ascii="hashemi" w:eastAsia="Times New Roman" w:hAnsi="hashemi" w:cs="hashemi" w:hint="cs"/>
          <w:szCs w:val="32"/>
          <w:rtl/>
        </w:rPr>
      </w:pPr>
    </w:p>
    <w:p w14:paraId="70A0F7B8" w14:textId="77777777" w:rsidR="0094067A" w:rsidRPr="008C0FB5" w:rsidRDefault="0094067A" w:rsidP="00763506">
      <w:pPr>
        <w:pStyle w:val="35"/>
        <w:rPr>
          <w:rFonts w:ascii="hashemi" w:eastAsia="Times New Roman" w:hAnsi="hashemi" w:cs="hashemi" w:hint="cs"/>
          <w:szCs w:val="32"/>
          <w:rtl/>
        </w:rPr>
      </w:pPr>
    </w:p>
    <w:p w14:paraId="6A4C48CC" w14:textId="77777777" w:rsidR="0094067A" w:rsidRPr="008C0FB5" w:rsidRDefault="0094067A" w:rsidP="00763506">
      <w:pPr>
        <w:pStyle w:val="35"/>
        <w:rPr>
          <w:rFonts w:ascii="hashemi" w:eastAsia="Times New Roman" w:hAnsi="hashemi" w:cs="hashemi" w:hint="cs"/>
          <w:szCs w:val="32"/>
          <w:rtl/>
        </w:rPr>
      </w:pPr>
    </w:p>
    <w:p w14:paraId="0B91BD2A" w14:textId="77777777" w:rsidR="0094067A" w:rsidRPr="008C0FB5" w:rsidRDefault="0094067A" w:rsidP="0094067A">
      <w:pPr>
        <w:spacing w:after="240"/>
        <w:ind w:firstLine="567"/>
        <w:rPr>
          <w:rFonts w:cs="Times New Roman" w:hint="cs"/>
          <w:sz w:val="30"/>
          <w:szCs w:val="30"/>
          <w:rtl/>
          <w:lang w:bidi="ar-IQ"/>
        </w:rPr>
      </w:pPr>
    </w:p>
    <w:p w14:paraId="71129BD1" w14:textId="77777777" w:rsidR="0094067A" w:rsidRPr="008C0FB5" w:rsidRDefault="0094067A" w:rsidP="0094067A">
      <w:pPr>
        <w:spacing w:after="240"/>
        <w:jc w:val="center"/>
        <w:rPr>
          <w:rFonts w:cs="Times New Roman" w:hint="cs"/>
          <w:b/>
          <w:bCs/>
          <w:sz w:val="30"/>
          <w:szCs w:val="30"/>
          <w:rtl/>
          <w:lang w:bidi="ar-IQ"/>
        </w:rPr>
      </w:pPr>
    </w:p>
    <w:p w14:paraId="71F09D87" w14:textId="77777777" w:rsidR="0094067A" w:rsidRPr="008C0FB5" w:rsidRDefault="0094067A" w:rsidP="00C35031">
      <w:pPr>
        <w:pStyle w:val="48"/>
        <w:rPr>
          <w:rFonts w:hint="cs"/>
          <w:rtl/>
        </w:rPr>
      </w:pPr>
      <w:r w:rsidRPr="008C0FB5">
        <w:rPr>
          <w:rFonts w:hint="cs"/>
          <w:rtl/>
        </w:rPr>
        <w:t xml:space="preserve">لقد اهتم الفقه الإسلامي بالبواعث اهتماماً لم يعهد في فقه غيره، ذلك ان الأحكام الشرعية خوطب بها المكلفون لأجل الامتثال لأوامر الشارع واجتناب نواهيه، والأعمال لا امتثال فيها من غير قصد، قال تعالى: </w:t>
      </w:r>
      <w:r w:rsidRPr="008C0FB5">
        <w:rPr>
          <w:rFonts w:ascii="Times New Roman" w:hAnsi="Times New Roman" w:hint="cs"/>
          <w:rtl/>
        </w:rPr>
        <w:t>﴿</w:t>
      </w:r>
      <w:r w:rsidRPr="008C0FB5">
        <w:rPr>
          <w:rFonts w:ascii="Kfg" w:hAnsi="Kfg" w:cs="KFGQPC Uthman Taha Naskh"/>
          <w:rtl/>
        </w:rPr>
        <w:t>وَمَا خَلَقْتُ الْجِنَّ وَالْإِنسَ إِلَّا لِيَعْبُدُونِ</w:t>
      </w:r>
      <w:r w:rsidRPr="008C0FB5">
        <w:rPr>
          <w:rFonts w:ascii="Times New Roman" w:hAnsi="Times New Roman" w:hint="cs"/>
          <w:rtl/>
        </w:rPr>
        <w:t>﴾</w:t>
      </w:r>
      <w:r w:rsidRPr="008C0FB5">
        <w:rPr>
          <w:rFonts w:cs="Saihat" w:hint="cs"/>
          <w:vertAlign w:val="superscript"/>
          <w:rtl/>
        </w:rPr>
        <w:t>(</w:t>
      </w:r>
      <w:r w:rsidRPr="008C0FB5">
        <w:rPr>
          <w:rStyle w:val="af0"/>
          <w:rFonts w:cs="Saihat"/>
          <w:sz w:val="30"/>
          <w:rtl/>
        </w:rPr>
        <w:footnoteReference w:id="130"/>
      </w:r>
      <w:r w:rsidRPr="008C0FB5">
        <w:rPr>
          <w:rFonts w:cs="Saihat" w:hint="cs"/>
          <w:vertAlign w:val="superscript"/>
          <w:rtl/>
        </w:rPr>
        <w:t>)</w:t>
      </w:r>
      <w:r w:rsidRPr="008C0FB5">
        <w:rPr>
          <w:rFonts w:hint="cs"/>
          <w:rtl/>
        </w:rPr>
        <w:t xml:space="preserve">، وقال تعالى: </w:t>
      </w:r>
      <w:r w:rsidRPr="008C0FB5">
        <w:rPr>
          <w:rFonts w:ascii="Times New Roman" w:hAnsi="Times New Roman" w:hint="cs"/>
          <w:rtl/>
        </w:rPr>
        <w:t>﴿</w:t>
      </w:r>
      <w:r w:rsidRPr="008C0FB5">
        <w:rPr>
          <w:rFonts w:ascii="Kfg" w:hAnsi="Kfg" w:cs="KFGQPC Uthman Taha Naskh" w:hint="cs"/>
          <w:rtl/>
        </w:rPr>
        <w:t>وَمَا أُمِرُوا إِلَّا لِيَعْبُدُوا اللَّهَ مُخْلِصِينَ لَهُ الدِّينَ</w:t>
      </w:r>
      <w:r w:rsidRPr="008C0FB5">
        <w:rPr>
          <w:rFonts w:ascii="Times New Roman" w:hAnsi="Times New Roman" w:hint="cs"/>
          <w:rtl/>
        </w:rPr>
        <w:t>﴾</w:t>
      </w:r>
      <w:r w:rsidRPr="008C0FB5">
        <w:rPr>
          <w:rFonts w:cs="Saihat" w:hint="cs"/>
          <w:vertAlign w:val="superscript"/>
          <w:rtl/>
        </w:rPr>
        <w:t>(</w:t>
      </w:r>
      <w:r w:rsidRPr="008C0FB5">
        <w:rPr>
          <w:rStyle w:val="af0"/>
          <w:rFonts w:cs="Saihat"/>
          <w:sz w:val="30"/>
          <w:rtl/>
        </w:rPr>
        <w:footnoteReference w:id="131"/>
      </w:r>
      <w:r w:rsidRPr="008C0FB5">
        <w:rPr>
          <w:rFonts w:cs="Saihat" w:hint="cs"/>
          <w:vertAlign w:val="superscript"/>
          <w:rtl/>
        </w:rPr>
        <w:t>)</w:t>
      </w:r>
      <w:r w:rsidRPr="008C0FB5">
        <w:rPr>
          <w:rFonts w:hint="cs"/>
          <w:rtl/>
        </w:rPr>
        <w:t>، فلا طاعة ولا مخالفة ولا ثواب ولا عقاب يثبت بدون وجود قصد من المكلف يصحب فعله، فيكون فعله طاعة إذا امتثل به لأوامر الشارع ويستحق بامتثاله هذا الثواب، ويكون خطيئة إذا اقترف ما نهى الشارع عنه، ويستحق بمعصيته العقاب، وهذا يعني ان البواعث المعتبرة في الحكم هي بواعث المكلفين أي المخاطبين بالأحكام الشرعية لا غيرهم.</w:t>
      </w:r>
    </w:p>
    <w:p w14:paraId="36D846F2" w14:textId="77777777" w:rsidR="0094067A" w:rsidRPr="008C0FB5" w:rsidRDefault="0094067A" w:rsidP="00C35031">
      <w:pPr>
        <w:pStyle w:val="35"/>
        <w:rPr>
          <w:rFonts w:hint="cs"/>
          <w:rtl/>
        </w:rPr>
      </w:pPr>
      <w:r w:rsidRPr="008C0FB5">
        <w:rPr>
          <w:rFonts w:hint="cs"/>
          <w:rtl/>
        </w:rPr>
        <w:t xml:space="preserve">والحكم الشرعي يرد على البواعث من طرفين أحدهما، باعتبار صلته بإرادة المكلف، لأن الباعث مقصود المكلف، وهذا هو نطاق الأحكام التكليفية. والثاني ما يرتبه الشارع من آثار (أحكام) على انصراف الإرادة على تحصيل البواعث بأسباب جعلية، ومن هذه الأسباب ما أباحها الشارع كالبيوع وسائر المعاملات المالية، ومنها ما نهى الشارع عن تحصيلها كالزنا والسرقة والقتل. </w:t>
      </w:r>
    </w:p>
    <w:p w14:paraId="222671FB" w14:textId="77777777" w:rsidR="0094067A" w:rsidRPr="008C0FB5" w:rsidRDefault="0094067A" w:rsidP="00C35031">
      <w:pPr>
        <w:pStyle w:val="35"/>
        <w:rPr>
          <w:rFonts w:hint="cs"/>
          <w:rtl/>
        </w:rPr>
      </w:pPr>
      <w:r w:rsidRPr="008C0FB5">
        <w:rPr>
          <w:rFonts w:hint="cs"/>
          <w:rtl/>
        </w:rPr>
        <w:t>ولهذا كله فقد ارتأينا بحث هذا الموضوع في مبحثين نتناول في أولهما أدلة نظرية الباعث في الأصول التشريعية والقواعد الفقهية، وخصصنا ثنيهما لبحث موقف المذاهب الإسلامية منها.</w:t>
      </w:r>
    </w:p>
    <w:p w14:paraId="37EF6946" w14:textId="77777777" w:rsidR="008C0FB5" w:rsidRPr="008C0FB5" w:rsidRDefault="008C0FB5" w:rsidP="008C0FB5">
      <w:pPr>
        <w:pStyle w:val="af"/>
        <w:numPr>
          <w:ilvl w:val="0"/>
          <w:numId w:val="5"/>
        </w:numPr>
        <w:spacing w:before="240" w:after="120" w:line="240" w:lineRule="auto"/>
        <w:contextualSpacing w:val="0"/>
        <w:rPr>
          <w:rFonts w:ascii="Times New Roman" w:eastAsia="Times New Roman" w:hAnsi="Times New Roman" w:cs="Sultan bold" w:hint="cs"/>
          <w:b/>
          <w:vanish/>
          <w:szCs w:val="36"/>
          <w:rtl/>
          <w:lang w:bidi="ar-IQ"/>
        </w:rPr>
      </w:pPr>
    </w:p>
    <w:p w14:paraId="76A67A05" w14:textId="77777777" w:rsidR="0094067A" w:rsidRPr="008C0FB5" w:rsidRDefault="0094067A" w:rsidP="008C0FB5">
      <w:pPr>
        <w:pStyle w:val="a0"/>
        <w:rPr>
          <w:rFonts w:hint="cs"/>
          <w:rtl/>
        </w:rPr>
      </w:pPr>
      <w:bookmarkStart w:id="65" w:name="_Toc8643657"/>
      <w:r w:rsidRPr="008C0FB5">
        <w:rPr>
          <w:rFonts w:hint="cs"/>
          <w:rtl/>
        </w:rPr>
        <w:t>المبحث الأول</w:t>
      </w:r>
      <w:r w:rsidRPr="008C0FB5">
        <w:rPr>
          <w:rFonts w:hint="cs"/>
          <w:rtl/>
          <w:lang w:bidi="fa-IR"/>
        </w:rPr>
        <w:t xml:space="preserve">: </w:t>
      </w:r>
      <w:r w:rsidRPr="008C0FB5">
        <w:rPr>
          <w:rFonts w:hint="cs"/>
          <w:rtl/>
        </w:rPr>
        <w:t>أدلة نظرية الباعث في الأصول التشريعية والقواعد الفقهية</w:t>
      </w:r>
      <w:bookmarkEnd w:id="65"/>
    </w:p>
    <w:p w14:paraId="6BA3F89E" w14:textId="77777777" w:rsidR="0094067A" w:rsidRPr="008C0FB5" w:rsidRDefault="0094067A" w:rsidP="00C35031">
      <w:pPr>
        <w:pStyle w:val="48"/>
        <w:rPr>
          <w:rFonts w:hint="cs"/>
          <w:rtl/>
        </w:rPr>
      </w:pPr>
      <w:r w:rsidRPr="008C0FB5">
        <w:rPr>
          <w:rFonts w:hint="cs"/>
          <w:rtl/>
        </w:rPr>
        <w:t xml:space="preserve">لم يكن غريباً في فقه تنبع أحكامه من تعاليم دينية أن يعنى بالبواعث النفسية، والمبادئ الخلقية، والمثل العليا، ومن هنا كان الفقه الإسلامي </w:t>
      </w:r>
      <w:proofErr w:type="gramStart"/>
      <w:r w:rsidRPr="008C0FB5">
        <w:rPr>
          <w:rFonts w:hint="cs"/>
          <w:rtl/>
        </w:rPr>
        <w:t>تقويمياً</w:t>
      </w:r>
      <w:r w:rsidRPr="008C0FB5">
        <w:rPr>
          <w:rFonts w:cs="Saihat" w:hint="cs"/>
          <w:vertAlign w:val="superscript"/>
          <w:rtl/>
        </w:rPr>
        <w:t>(</w:t>
      </w:r>
      <w:proofErr w:type="gramEnd"/>
      <w:r w:rsidRPr="008C0FB5">
        <w:rPr>
          <w:rStyle w:val="af0"/>
          <w:rFonts w:cs="Saihat"/>
          <w:sz w:val="30"/>
          <w:rtl/>
        </w:rPr>
        <w:footnoteReference w:id="132"/>
      </w:r>
      <w:r w:rsidRPr="008C0FB5">
        <w:rPr>
          <w:rFonts w:cs="Saihat" w:hint="cs"/>
          <w:vertAlign w:val="superscript"/>
          <w:rtl/>
        </w:rPr>
        <w:t>)</w:t>
      </w:r>
      <w:r w:rsidRPr="008C0FB5">
        <w:rPr>
          <w:rFonts w:hint="cs"/>
          <w:rtl/>
        </w:rPr>
        <w:t xml:space="preserve"> يتعلق بالإرادة وتوجيهها، ويطهر الباعث كي لا يحرك الإرادة إلى تحقيق غايات غير مشروعة تناقض مقاصد الشارع، وتهدم قواعده وأصوله التشريعية تحت ستار الحق.</w:t>
      </w:r>
    </w:p>
    <w:p w14:paraId="0C85A755" w14:textId="77777777" w:rsidR="0094067A" w:rsidRPr="008C0FB5" w:rsidRDefault="0094067A" w:rsidP="00EE4C46">
      <w:pPr>
        <w:pStyle w:val="35"/>
        <w:rPr>
          <w:rFonts w:cs="Times New Roman" w:hint="cs"/>
          <w:b/>
          <w:bCs/>
          <w:sz w:val="30"/>
          <w:rtl/>
        </w:rPr>
      </w:pPr>
      <w:r w:rsidRPr="008C0FB5">
        <w:rPr>
          <w:rFonts w:hint="cs"/>
          <w:rtl/>
        </w:rPr>
        <w:t>ولكن ما هي القواعد والأصول التي تُخترق من قبل الباعث إذا كان غير مشروع؟ هذا ما سنتناوله في هذا المبحث وللإحاطة بالموضوع فقد قسمنا هذا المبحث إلى مطالب ثلاثة تناولنا في أولها أصل النظر في مآلات الأفعال وخصصنا ثانيها لبحث قاعدة الذرائع وعقدنا ثالثها لبحث قاعدة الحيل وقاعدة الأمور بمقاصدها.</w:t>
      </w:r>
    </w:p>
    <w:p w14:paraId="7E712AF0" w14:textId="77777777" w:rsidR="0094067A" w:rsidRPr="008C0FB5" w:rsidRDefault="00202833" w:rsidP="00C253D0">
      <w:pPr>
        <w:pStyle w:val="a1"/>
        <w:rPr>
          <w:rFonts w:hint="cs"/>
          <w:rtl/>
        </w:rPr>
      </w:pPr>
      <w:r w:rsidRPr="008C0FB5">
        <w:rPr>
          <w:rtl/>
        </w:rPr>
        <w:br w:type="page"/>
      </w:r>
      <w:bookmarkStart w:id="66" w:name="_Toc8643658"/>
      <w:r w:rsidR="0094067A" w:rsidRPr="008C0FB5">
        <w:rPr>
          <w:rFonts w:hint="cs"/>
          <w:rtl/>
        </w:rPr>
        <w:lastRenderedPageBreak/>
        <w:t>المطلب الأول: أصل النظـر في مآلات الأفعال</w:t>
      </w:r>
      <w:bookmarkEnd w:id="66"/>
    </w:p>
    <w:p w14:paraId="568928D4" w14:textId="77777777" w:rsidR="0094067A" w:rsidRPr="008C0FB5" w:rsidRDefault="0094067A" w:rsidP="00202833">
      <w:pPr>
        <w:pStyle w:val="48"/>
        <w:spacing w:line="240" w:lineRule="auto"/>
        <w:rPr>
          <w:rFonts w:hint="cs"/>
          <w:rtl/>
        </w:rPr>
      </w:pPr>
      <w:r w:rsidRPr="008C0FB5">
        <w:rPr>
          <w:rFonts w:hint="cs"/>
          <w:rtl/>
        </w:rPr>
        <w:t xml:space="preserve">إن القواعد التشريعية وضعت لتحقيق مقاصد </w:t>
      </w:r>
      <w:proofErr w:type="gramStart"/>
      <w:r w:rsidRPr="008C0FB5">
        <w:rPr>
          <w:rFonts w:hint="cs"/>
          <w:rtl/>
        </w:rPr>
        <w:t>أساسية</w:t>
      </w:r>
      <w:r w:rsidRPr="008C0FB5">
        <w:rPr>
          <w:rFonts w:cs="Saihat" w:hint="cs"/>
          <w:vertAlign w:val="superscript"/>
          <w:rtl/>
        </w:rPr>
        <w:t>(</w:t>
      </w:r>
      <w:proofErr w:type="gramEnd"/>
      <w:r w:rsidRPr="008C0FB5">
        <w:rPr>
          <w:rStyle w:val="af0"/>
          <w:rFonts w:cs="Saihat"/>
          <w:sz w:val="30"/>
          <w:rtl/>
        </w:rPr>
        <w:footnoteReference w:id="133"/>
      </w:r>
      <w:r w:rsidRPr="008C0FB5">
        <w:rPr>
          <w:rFonts w:cs="Saihat" w:hint="cs"/>
          <w:vertAlign w:val="superscript"/>
          <w:rtl/>
        </w:rPr>
        <w:t>)</w:t>
      </w:r>
      <w:r w:rsidRPr="008C0FB5">
        <w:rPr>
          <w:rFonts w:hint="cs"/>
          <w:rtl/>
        </w:rPr>
        <w:t>، فهي لم تشرع تحكماً، لمجرد إخضاع المكلفين لسلطان التكيف، ولا عبثاً، بل شرعت لمعانٍ ومصالح اجتماعية، واقتصادية اقتضت تشريعها ويتقيد الاستعمال بها ظاهراً وباطناً</w:t>
      </w:r>
      <w:r w:rsidRPr="008C0FB5">
        <w:rPr>
          <w:rFonts w:cs="Saihat" w:hint="cs"/>
          <w:vertAlign w:val="superscript"/>
          <w:rtl/>
        </w:rPr>
        <w:t>(</w:t>
      </w:r>
      <w:r w:rsidRPr="008C0FB5">
        <w:rPr>
          <w:rStyle w:val="af0"/>
          <w:rFonts w:cs="Saihat"/>
          <w:sz w:val="30"/>
          <w:rtl/>
        </w:rPr>
        <w:footnoteReference w:id="134"/>
      </w:r>
      <w:r w:rsidRPr="008C0FB5">
        <w:rPr>
          <w:rFonts w:cs="Saihat" w:hint="cs"/>
          <w:vertAlign w:val="superscript"/>
          <w:rtl/>
        </w:rPr>
        <w:t>)</w:t>
      </w:r>
      <w:r w:rsidRPr="008C0FB5">
        <w:rPr>
          <w:rFonts w:hint="cs"/>
          <w:rtl/>
        </w:rPr>
        <w:t xml:space="preserve">. ذلك ان هذه القاعدة تعطي للتصرف حكماً يتفق مع ما يؤول إليه، فإن كان يؤدي إلى مطلوب فهو مطلوب وإن كان يؤدي إلى محظور فهو محظور، فمتعلقات الأحكام منها ما هو مقصود بالذات، وهو المتضمن لجلب المصالح ودرء المفاسد في ذاته، ومنها ما هو وسيلة إلى جلب المصلحة أو درء المفسدة، وسواء في ذلك ما إذا تضمنت تلك الأحكام أمراً أو نهياً، وللوسائل أحكام المقاصد، فالوسيلة إلى أفضل المقاصد هي أفضل الوسائل، والوسيلة إلى أرذل المقاصد هي أرذل الوسائل، ثم تترتب الوسائل بترتب المصالح ودرء </w:t>
      </w:r>
      <w:proofErr w:type="gramStart"/>
      <w:r w:rsidRPr="008C0FB5">
        <w:rPr>
          <w:rFonts w:hint="cs"/>
          <w:rtl/>
        </w:rPr>
        <w:t>المفاسد</w:t>
      </w:r>
      <w:r w:rsidRPr="008C0FB5">
        <w:rPr>
          <w:rFonts w:cs="Saihat" w:hint="cs"/>
          <w:vertAlign w:val="superscript"/>
          <w:rtl/>
        </w:rPr>
        <w:t>(</w:t>
      </w:r>
      <w:proofErr w:type="gramEnd"/>
      <w:r w:rsidRPr="008C0FB5">
        <w:rPr>
          <w:rStyle w:val="af0"/>
          <w:rFonts w:cs="Saihat"/>
          <w:sz w:val="30"/>
          <w:rtl/>
        </w:rPr>
        <w:footnoteReference w:id="135"/>
      </w:r>
      <w:r w:rsidRPr="008C0FB5">
        <w:rPr>
          <w:rFonts w:cs="Saihat" w:hint="cs"/>
          <w:vertAlign w:val="superscript"/>
          <w:rtl/>
        </w:rPr>
        <w:t>)</w:t>
      </w:r>
      <w:r w:rsidRPr="008C0FB5">
        <w:rPr>
          <w:rFonts w:hint="cs"/>
          <w:rtl/>
        </w:rPr>
        <w:t>.</w:t>
      </w:r>
    </w:p>
    <w:p w14:paraId="66F03FBB" w14:textId="77777777" w:rsidR="0094067A" w:rsidRPr="008C0FB5" w:rsidRDefault="0094067A" w:rsidP="00C35031">
      <w:pPr>
        <w:pStyle w:val="35"/>
        <w:rPr>
          <w:rFonts w:hint="cs"/>
          <w:rtl/>
        </w:rPr>
      </w:pPr>
      <w:r w:rsidRPr="008C0FB5">
        <w:rPr>
          <w:rFonts w:hint="cs"/>
          <w:rtl/>
        </w:rPr>
        <w:t xml:space="preserve">فمآل التصرف قد أخذه علماء المسلمين بنظر الاعتبار وبنوا عليه الكثير من القواعد وفرعوا عليه العديد من </w:t>
      </w:r>
      <w:proofErr w:type="gramStart"/>
      <w:r w:rsidRPr="008C0FB5">
        <w:rPr>
          <w:rFonts w:hint="cs"/>
          <w:rtl/>
        </w:rPr>
        <w:t>الفروع</w:t>
      </w:r>
      <w:r w:rsidRPr="008C0FB5">
        <w:rPr>
          <w:rFonts w:cs="Saihat" w:hint="cs"/>
          <w:vertAlign w:val="superscript"/>
          <w:rtl/>
        </w:rPr>
        <w:t>(</w:t>
      </w:r>
      <w:proofErr w:type="gramEnd"/>
      <w:r w:rsidRPr="008C0FB5">
        <w:rPr>
          <w:rStyle w:val="af0"/>
          <w:rFonts w:cs="Saihat"/>
          <w:sz w:val="30"/>
          <w:rtl/>
        </w:rPr>
        <w:footnoteReference w:id="136"/>
      </w:r>
      <w:r w:rsidRPr="008C0FB5">
        <w:rPr>
          <w:rFonts w:cs="Saihat" w:hint="cs"/>
          <w:vertAlign w:val="superscript"/>
          <w:rtl/>
        </w:rPr>
        <w:t>)</w:t>
      </w:r>
      <w:r w:rsidRPr="008C0FB5">
        <w:rPr>
          <w:rFonts w:hint="cs"/>
          <w:rtl/>
        </w:rPr>
        <w:t>.</w:t>
      </w:r>
    </w:p>
    <w:p w14:paraId="29C9C64C" w14:textId="77777777" w:rsidR="0094067A" w:rsidRPr="008C0FB5" w:rsidRDefault="0094067A" w:rsidP="00C35031">
      <w:pPr>
        <w:pStyle w:val="35"/>
        <w:rPr>
          <w:rFonts w:hint="cs"/>
          <w:rtl/>
        </w:rPr>
      </w:pPr>
      <w:r w:rsidRPr="008C0FB5">
        <w:rPr>
          <w:rFonts w:hint="cs"/>
          <w:rtl/>
        </w:rPr>
        <w:t xml:space="preserve">والأدلة على اعتبار المآل في الأفعال كثيرة منها:   </w:t>
      </w:r>
    </w:p>
    <w:p w14:paraId="3CC91186" w14:textId="77777777" w:rsidR="0094067A" w:rsidRPr="008C0FB5" w:rsidRDefault="0094067A" w:rsidP="00C35031">
      <w:pPr>
        <w:pStyle w:val="35"/>
        <w:rPr>
          <w:rFonts w:hint="cs"/>
          <w:rtl/>
        </w:rPr>
      </w:pPr>
      <w:r w:rsidRPr="008C0FB5">
        <w:rPr>
          <w:rFonts w:hint="cs"/>
          <w:rtl/>
        </w:rPr>
        <w:t xml:space="preserve">في القرآن الكريم قوله تعالى: </w:t>
      </w:r>
    </w:p>
    <w:p w14:paraId="08B21933" w14:textId="77777777" w:rsidR="0094067A" w:rsidRPr="008C0FB5" w:rsidRDefault="0094067A" w:rsidP="00EE4C46">
      <w:pPr>
        <w:pStyle w:val="afff"/>
        <w:rPr>
          <w:rFonts w:hint="cs"/>
          <w:rtl/>
        </w:rPr>
      </w:pPr>
      <w:r w:rsidRPr="008C0FB5">
        <w:rPr>
          <w:rtl/>
        </w:rPr>
        <w:t>﴿</w:t>
      </w:r>
      <w:r w:rsidRPr="008C0FB5">
        <w:rPr>
          <w:rFonts w:hint="cs"/>
          <w:rtl/>
        </w:rPr>
        <w:t>كُتِبَ عَلَيْكُمُ الْقِتَالُ وَهُوَ كُرْهٌ لَّكُمْ وَعَسَى أَن تَكْرَهُواْ شَيْئاً وَهُوَ خَيْرٌ لَّكُمْ وَعَس</w:t>
      </w:r>
      <w:r w:rsidR="00EE4C46" w:rsidRPr="008C0FB5">
        <w:rPr>
          <w:rFonts w:hint="cs"/>
          <w:rtl/>
          <w:lang w:bidi="ar-IQ"/>
        </w:rPr>
        <w:t>ـ</w:t>
      </w:r>
      <w:r w:rsidRPr="008C0FB5">
        <w:rPr>
          <w:rFonts w:hint="cs"/>
          <w:rtl/>
        </w:rPr>
        <w:t xml:space="preserve">َى أَن تُحِبُّواْ شَيْئاً وَهُوَ شَرٌّ لَّكُمْ وَاللّهُ يَعْلَمُ وَأَنتُمْ لاَ </w:t>
      </w:r>
      <w:proofErr w:type="gramStart"/>
      <w:r w:rsidRPr="008C0FB5">
        <w:rPr>
          <w:rFonts w:hint="cs"/>
          <w:rtl/>
        </w:rPr>
        <w:t xml:space="preserve">تَعْلَمُونَ </w:t>
      </w:r>
      <w:r w:rsidRPr="008C0FB5">
        <w:rPr>
          <w:rtl/>
        </w:rPr>
        <w:t>﴾</w:t>
      </w:r>
      <w:proofErr w:type="gramEnd"/>
      <w:r w:rsidRPr="008C0FB5">
        <w:rPr>
          <w:rFonts w:cs="Saihat" w:hint="cs"/>
          <w:szCs w:val="30"/>
          <w:vertAlign w:val="superscript"/>
          <w:rtl/>
        </w:rPr>
        <w:t>(</w:t>
      </w:r>
      <w:r w:rsidRPr="008C0FB5">
        <w:rPr>
          <w:rStyle w:val="af0"/>
          <w:rFonts w:cs="Saihat"/>
          <w:sz w:val="30"/>
          <w:szCs w:val="30"/>
          <w:rtl/>
        </w:rPr>
        <w:footnoteReference w:id="137"/>
      </w:r>
      <w:r w:rsidRPr="008C0FB5">
        <w:rPr>
          <w:rFonts w:cs="Saihat" w:hint="cs"/>
          <w:szCs w:val="30"/>
          <w:vertAlign w:val="superscript"/>
          <w:rtl/>
        </w:rPr>
        <w:t>)</w:t>
      </w:r>
      <w:r w:rsidRPr="008C0FB5">
        <w:rPr>
          <w:rFonts w:hint="cs"/>
          <w:rtl/>
        </w:rPr>
        <w:t>.</w:t>
      </w:r>
    </w:p>
    <w:p w14:paraId="337D7300" w14:textId="77777777" w:rsidR="0094067A" w:rsidRPr="008C0FB5" w:rsidRDefault="0094067A" w:rsidP="00C35031">
      <w:pPr>
        <w:pStyle w:val="35"/>
        <w:rPr>
          <w:rFonts w:hint="cs"/>
          <w:rtl/>
        </w:rPr>
      </w:pPr>
      <w:r w:rsidRPr="008C0FB5">
        <w:rPr>
          <w:rFonts w:hint="cs"/>
          <w:rtl/>
        </w:rPr>
        <w:t xml:space="preserve">وما كان فرض الله سبحانه وتعالى القتال على المسلمين، إلا من باب اعتبار مآلات الأفعال ذلك ان القتال يجلب المشقة والشدة ولكنه في نفس الوقت فيه من المحافظة على دين المسلمين وعقيدتهم وأموالهم وأعراضهم مما يبرر تشريع الله </w:t>
      </w:r>
      <w:proofErr w:type="gramStart"/>
      <w:r w:rsidRPr="008C0FB5">
        <w:rPr>
          <w:rFonts w:hint="cs"/>
          <w:rtl/>
        </w:rPr>
        <w:t>له</w:t>
      </w:r>
      <w:r w:rsidRPr="008C0FB5">
        <w:rPr>
          <w:rFonts w:cs="Saihat" w:hint="cs"/>
          <w:vertAlign w:val="superscript"/>
          <w:rtl/>
        </w:rPr>
        <w:t>(</w:t>
      </w:r>
      <w:proofErr w:type="gramEnd"/>
      <w:r w:rsidRPr="008C0FB5">
        <w:rPr>
          <w:rStyle w:val="af0"/>
          <w:rFonts w:cs="Saihat"/>
          <w:sz w:val="30"/>
          <w:rtl/>
        </w:rPr>
        <w:footnoteReference w:id="138"/>
      </w:r>
      <w:r w:rsidRPr="008C0FB5">
        <w:rPr>
          <w:rFonts w:cs="Saihat" w:hint="cs"/>
          <w:vertAlign w:val="superscript"/>
          <w:rtl/>
        </w:rPr>
        <w:t>)</w:t>
      </w:r>
      <w:r w:rsidRPr="008C0FB5">
        <w:rPr>
          <w:rFonts w:hint="cs"/>
          <w:rtl/>
        </w:rPr>
        <w:t>.</w:t>
      </w:r>
    </w:p>
    <w:p w14:paraId="6EB186B0" w14:textId="77777777" w:rsidR="0094067A" w:rsidRPr="008C0FB5" w:rsidRDefault="0094067A" w:rsidP="00C35031">
      <w:pPr>
        <w:pStyle w:val="35"/>
        <w:rPr>
          <w:rFonts w:hint="cs"/>
          <w:rtl/>
        </w:rPr>
      </w:pPr>
      <w:r w:rsidRPr="008C0FB5">
        <w:rPr>
          <w:rFonts w:hint="cs"/>
          <w:rtl/>
        </w:rPr>
        <w:t xml:space="preserve">2- السنة الشريفة: قوله عليه أفضل الصلاة والسلام وعلى آله </w:t>
      </w:r>
    </w:p>
    <w:p w14:paraId="2B88F6EA" w14:textId="77777777" w:rsidR="0094067A" w:rsidRPr="008C0FB5" w:rsidRDefault="0094067A" w:rsidP="00A613BA">
      <w:pPr>
        <w:pStyle w:val="afffffff1"/>
        <w:rPr>
          <w:rFonts w:hint="cs"/>
          <w:rtl/>
        </w:rPr>
      </w:pPr>
      <w:r w:rsidRPr="008C0FB5">
        <w:rPr>
          <w:rFonts w:hint="cs"/>
          <w:rtl/>
        </w:rPr>
        <w:lastRenderedPageBreak/>
        <w:t xml:space="preserve">إياكم والجلوس على الطرقات، قالوا يا رسول الله مالنا بد هي مجالسنا نتحدث فيها، قال: فأما إذا أبيتم فأعطوا الطريق حقه، قال: غض البصر وكذف الأذى ورد السلام والأمر بالمعروف والنهي عن </w:t>
      </w:r>
      <w:proofErr w:type="gramStart"/>
      <w:r w:rsidRPr="008C0FB5">
        <w:rPr>
          <w:rFonts w:hint="cs"/>
          <w:rtl/>
        </w:rPr>
        <w:t>المنكر</w:t>
      </w:r>
      <w:r w:rsidRPr="008C0FB5">
        <w:rPr>
          <w:rFonts w:hint="cs"/>
          <w:szCs w:val="30"/>
          <w:vertAlign w:val="superscript"/>
          <w:rtl/>
        </w:rPr>
        <w:t>(</w:t>
      </w:r>
      <w:proofErr w:type="gramEnd"/>
      <w:r w:rsidRPr="008C0FB5">
        <w:rPr>
          <w:rStyle w:val="af0"/>
          <w:sz w:val="30"/>
          <w:szCs w:val="30"/>
          <w:rtl/>
        </w:rPr>
        <w:footnoteReference w:id="139"/>
      </w:r>
      <w:r w:rsidRPr="008C0FB5">
        <w:rPr>
          <w:rFonts w:hint="cs"/>
          <w:szCs w:val="30"/>
          <w:vertAlign w:val="superscript"/>
          <w:rtl/>
        </w:rPr>
        <w:t>)</w:t>
      </w:r>
      <w:r w:rsidRPr="008C0FB5">
        <w:rPr>
          <w:rFonts w:hint="cs"/>
          <w:rtl/>
        </w:rPr>
        <w:t>.</w:t>
      </w:r>
    </w:p>
    <w:p w14:paraId="407534EB" w14:textId="77777777" w:rsidR="0094067A" w:rsidRPr="008C0FB5" w:rsidRDefault="0094067A" w:rsidP="00C35031">
      <w:pPr>
        <w:pStyle w:val="35"/>
        <w:rPr>
          <w:rFonts w:hint="cs"/>
          <w:rtl/>
        </w:rPr>
      </w:pPr>
      <w:r w:rsidRPr="008C0FB5">
        <w:rPr>
          <w:rFonts w:hint="cs"/>
          <w:rtl/>
        </w:rPr>
        <w:t>وما كان نهي رسول الله</w:t>
      </w:r>
      <w:r w:rsidR="003E1E9A" w:rsidRPr="008C0FB5">
        <w:rPr>
          <w:rFonts w:hint="cs"/>
        </w:rPr>
        <w:t></w:t>
      </w:r>
      <w:r w:rsidRPr="008C0FB5">
        <w:rPr>
          <w:rFonts w:hint="cs"/>
          <w:rtl/>
        </w:rPr>
        <w:t xml:space="preserve"> عن الجلوس في الطرقات لذات الجلوس وإنما لما يؤول إليه الجلوس من التقصير في إعطاء الطريق حقه، من رد السلام والأمر بالمعروف والنظر إلى ما يخالف أوامر الله سبحانه وتعالى وما إلى </w:t>
      </w:r>
      <w:proofErr w:type="gramStart"/>
      <w:r w:rsidRPr="008C0FB5">
        <w:rPr>
          <w:rFonts w:hint="cs"/>
          <w:rtl/>
        </w:rPr>
        <w:t>ذلك</w:t>
      </w:r>
      <w:r w:rsidRPr="008C0FB5">
        <w:rPr>
          <w:rFonts w:cs="Saihat" w:hint="cs"/>
          <w:vertAlign w:val="superscript"/>
          <w:rtl/>
        </w:rPr>
        <w:t>(</w:t>
      </w:r>
      <w:proofErr w:type="gramEnd"/>
      <w:r w:rsidRPr="008C0FB5">
        <w:rPr>
          <w:rStyle w:val="af0"/>
          <w:rFonts w:cs="Saihat"/>
          <w:sz w:val="30"/>
          <w:rtl/>
        </w:rPr>
        <w:footnoteReference w:id="140"/>
      </w:r>
      <w:r w:rsidRPr="008C0FB5">
        <w:rPr>
          <w:rFonts w:cs="Saihat" w:hint="cs"/>
          <w:vertAlign w:val="superscript"/>
          <w:rtl/>
        </w:rPr>
        <w:t>)</w:t>
      </w:r>
      <w:r w:rsidRPr="008C0FB5">
        <w:rPr>
          <w:rFonts w:hint="cs"/>
          <w:rtl/>
        </w:rPr>
        <w:t>.</w:t>
      </w:r>
    </w:p>
    <w:p w14:paraId="6B7BE0E7" w14:textId="77777777" w:rsidR="0094067A" w:rsidRPr="008C0FB5" w:rsidRDefault="0094067A" w:rsidP="00C35031">
      <w:pPr>
        <w:pStyle w:val="35"/>
        <w:rPr>
          <w:rFonts w:hint="cs"/>
          <w:rtl/>
        </w:rPr>
      </w:pPr>
      <w:r w:rsidRPr="008C0FB5">
        <w:rPr>
          <w:rFonts w:hint="cs"/>
          <w:rtl/>
        </w:rPr>
        <w:t xml:space="preserve">ويقول ابن تيمية في ذلك: </w:t>
      </w:r>
    </w:p>
    <w:p w14:paraId="0A6FED57" w14:textId="77777777" w:rsidR="0094067A" w:rsidRPr="008C0FB5" w:rsidRDefault="0094067A" w:rsidP="00A613BA">
      <w:pPr>
        <w:pStyle w:val="afffffff1"/>
        <w:rPr>
          <w:rFonts w:hint="cs"/>
          <w:rtl/>
        </w:rPr>
      </w:pPr>
      <w:r w:rsidRPr="008C0FB5">
        <w:rPr>
          <w:rFonts w:hint="cs"/>
          <w:rtl/>
        </w:rPr>
        <w:t>الذرائع حرمها الشارع، وإن لم يقصد بها المحرم خشية إفضائها إلى المحرم فإذا قصد بالشيء نفس المحرم كان أولى بالتحريم وبهذا تظهر علة التحريم في مسائل العينة، وأمثالها وإن لم يقصد البائع الربا، لأن هذه المعاملة يغلب فيها قصد الربا فيصير ذريعة، فسد هذا الباب لئلا يتخذه الناس وسيلة إلى الربا، ويقول القائل، لم أقصد به ذلك، ولئلا يدعو الناس فعله مرة أخرى ولئلا يعتقد ان جنس هذه المعاملة حلال ولا يميز بين القصد وعدمه، ولا يفعلها الإنسان مع قصد خفي من نفسه على نفسه، وللشريعة أسرار في سد الفساد وحسم مادة الشر...</w:t>
      </w:r>
      <w:r w:rsidRPr="008C0FB5">
        <w:rPr>
          <w:rFonts w:hint="cs"/>
          <w:szCs w:val="30"/>
          <w:vertAlign w:val="superscript"/>
          <w:rtl/>
        </w:rPr>
        <w:t>(</w:t>
      </w:r>
      <w:r w:rsidRPr="008C0FB5">
        <w:rPr>
          <w:rStyle w:val="af0"/>
          <w:sz w:val="30"/>
          <w:szCs w:val="30"/>
          <w:rtl/>
        </w:rPr>
        <w:footnoteReference w:id="141"/>
      </w:r>
      <w:r w:rsidRPr="008C0FB5">
        <w:rPr>
          <w:rFonts w:hint="cs"/>
          <w:szCs w:val="30"/>
          <w:vertAlign w:val="superscript"/>
          <w:rtl/>
        </w:rPr>
        <w:t>)</w:t>
      </w:r>
      <w:r w:rsidRPr="008C0FB5">
        <w:rPr>
          <w:rFonts w:hint="cs"/>
          <w:rtl/>
        </w:rPr>
        <w:t>.</w:t>
      </w:r>
    </w:p>
    <w:p w14:paraId="02F0D9FB" w14:textId="77777777" w:rsidR="0094067A" w:rsidRPr="008C0FB5" w:rsidRDefault="0094067A" w:rsidP="00C35031">
      <w:pPr>
        <w:pStyle w:val="35"/>
        <w:rPr>
          <w:rFonts w:hint="cs"/>
          <w:rtl/>
        </w:rPr>
      </w:pPr>
      <w:r w:rsidRPr="008C0FB5">
        <w:rPr>
          <w:rFonts w:hint="cs"/>
          <w:rtl/>
        </w:rPr>
        <w:t xml:space="preserve">يتبين مما تقدم، ان الفعل يحل ويحرم ويؤذن فيه أو يمنع النظر إلى مآله ونتيجته، بقطع النظر عن أصل وصفه </w:t>
      </w:r>
      <w:proofErr w:type="gramStart"/>
      <w:r w:rsidRPr="008C0FB5">
        <w:rPr>
          <w:rFonts w:hint="cs"/>
          <w:rtl/>
        </w:rPr>
        <w:t>الشرعي</w:t>
      </w:r>
      <w:r w:rsidRPr="008C0FB5">
        <w:rPr>
          <w:rFonts w:cs="Saihat" w:hint="cs"/>
          <w:vertAlign w:val="superscript"/>
          <w:rtl/>
        </w:rPr>
        <w:t>(</w:t>
      </w:r>
      <w:proofErr w:type="gramEnd"/>
      <w:r w:rsidRPr="008C0FB5">
        <w:rPr>
          <w:rStyle w:val="af0"/>
          <w:rFonts w:cs="Saihat"/>
          <w:sz w:val="30"/>
          <w:rtl/>
        </w:rPr>
        <w:footnoteReference w:id="142"/>
      </w:r>
      <w:r w:rsidRPr="008C0FB5">
        <w:rPr>
          <w:rFonts w:cs="Saihat" w:hint="cs"/>
          <w:vertAlign w:val="superscript"/>
          <w:rtl/>
        </w:rPr>
        <w:t>)</w:t>
      </w:r>
      <w:r w:rsidRPr="008C0FB5">
        <w:rPr>
          <w:rFonts w:hint="cs"/>
          <w:rtl/>
        </w:rPr>
        <w:t>.</w:t>
      </w:r>
    </w:p>
    <w:p w14:paraId="6CE72E93" w14:textId="77777777" w:rsidR="0094067A" w:rsidRPr="008C0FB5" w:rsidRDefault="0094067A" w:rsidP="00C35031">
      <w:pPr>
        <w:pStyle w:val="35"/>
        <w:rPr>
          <w:rFonts w:hint="cs"/>
          <w:rtl/>
        </w:rPr>
      </w:pPr>
      <w:r w:rsidRPr="008C0FB5">
        <w:rPr>
          <w:rFonts w:hint="cs"/>
          <w:rtl/>
        </w:rPr>
        <w:t>فالتصرفات المأذون فيها، إذا أفضت بذاتها أي بدون قصد من المكلف إلى مآل ممنوع تمنه ولا تشرع، لأنها أدت إلى ما يناقض مقاصد الشارع، وكذلك إذا كان الباعث على التصرفات المباحة تحقيق أمر غير مشروع، حرمت بالنظر إلى هذا الباعث، وبالنظر إلى هذا المآل أيضاً.</w:t>
      </w:r>
    </w:p>
    <w:p w14:paraId="7BF2A6AD" w14:textId="77777777" w:rsidR="0094067A" w:rsidRPr="008C0FB5" w:rsidRDefault="0094067A" w:rsidP="00EE4C46">
      <w:pPr>
        <w:pStyle w:val="48"/>
        <w:rPr>
          <w:rFonts w:hint="cs"/>
          <w:rtl/>
        </w:rPr>
      </w:pPr>
      <w:r w:rsidRPr="008C0FB5">
        <w:rPr>
          <w:rFonts w:hint="cs"/>
          <w:rtl/>
        </w:rPr>
        <w:t>وعلى هذا يترتب أمران:</w:t>
      </w:r>
    </w:p>
    <w:p w14:paraId="26F1338F" w14:textId="77777777" w:rsidR="0094067A" w:rsidRPr="008C0FB5" w:rsidRDefault="0094067A" w:rsidP="00C35031">
      <w:pPr>
        <w:pStyle w:val="48"/>
        <w:numPr>
          <w:ilvl w:val="0"/>
          <w:numId w:val="15"/>
        </w:numPr>
        <w:rPr>
          <w:rFonts w:hint="cs"/>
          <w:rtl/>
        </w:rPr>
      </w:pPr>
      <w:r w:rsidRPr="008C0FB5">
        <w:rPr>
          <w:rFonts w:hint="cs"/>
          <w:rtl/>
        </w:rPr>
        <w:t>يجب أن يكون قصد المكلف في العمل موافقاً لمقاصد الشريعة في التشريع.</w:t>
      </w:r>
    </w:p>
    <w:p w14:paraId="0E53C068" w14:textId="77777777" w:rsidR="0094067A" w:rsidRPr="008C0FB5" w:rsidRDefault="0094067A" w:rsidP="00C35031">
      <w:pPr>
        <w:pStyle w:val="48"/>
        <w:numPr>
          <w:ilvl w:val="0"/>
          <w:numId w:val="15"/>
        </w:numPr>
        <w:rPr>
          <w:rFonts w:hint="cs"/>
          <w:rtl/>
        </w:rPr>
      </w:pPr>
      <w:r w:rsidRPr="008C0FB5">
        <w:rPr>
          <w:rFonts w:hint="cs"/>
          <w:rtl/>
        </w:rPr>
        <w:t>انه يلزم المجتهد، النظر في مآلات الأفعال ويكيفها بالمشروعية أو عدمها على ضوء من تلك المآلات.</w:t>
      </w:r>
    </w:p>
    <w:p w14:paraId="3E0905E3" w14:textId="77777777" w:rsidR="0094067A" w:rsidRPr="008C0FB5" w:rsidRDefault="0094067A" w:rsidP="00C35031">
      <w:pPr>
        <w:pStyle w:val="35"/>
        <w:rPr>
          <w:rFonts w:hint="cs"/>
          <w:rtl/>
        </w:rPr>
      </w:pPr>
      <w:r w:rsidRPr="008C0FB5">
        <w:rPr>
          <w:rFonts w:hint="cs"/>
          <w:rtl/>
        </w:rPr>
        <w:t>ويتفرع عن قاعدة اعتبار المآل عدة قواعد فرعية:</w:t>
      </w:r>
    </w:p>
    <w:p w14:paraId="7B33A077" w14:textId="77777777" w:rsidR="0094067A" w:rsidRPr="008C0FB5" w:rsidRDefault="0094067A" w:rsidP="00EE4C46">
      <w:pPr>
        <w:pStyle w:val="48"/>
        <w:rPr>
          <w:rFonts w:hint="cs"/>
          <w:b/>
          <w:bCs/>
          <w:rtl/>
        </w:rPr>
      </w:pPr>
      <w:r w:rsidRPr="008C0FB5">
        <w:rPr>
          <w:rFonts w:hint="cs"/>
          <w:b/>
          <w:bCs/>
          <w:rtl/>
        </w:rPr>
        <w:t>القاعدة الأولى: قاعدة الذرائع:</w:t>
      </w:r>
    </w:p>
    <w:p w14:paraId="069FEE9E" w14:textId="77777777" w:rsidR="0094067A" w:rsidRPr="008C0FB5" w:rsidRDefault="0094067A" w:rsidP="00C35031">
      <w:pPr>
        <w:pStyle w:val="48"/>
        <w:rPr>
          <w:rFonts w:hint="cs"/>
          <w:rtl/>
        </w:rPr>
      </w:pPr>
      <w:r w:rsidRPr="008C0FB5">
        <w:rPr>
          <w:rFonts w:hint="cs"/>
          <w:rtl/>
        </w:rPr>
        <w:t xml:space="preserve">وتشتمل على سد الذرائع وفتحها، وسد الذرائع هي في حقيقتها منع الأفعال المؤدية للفساد. أي منع الوسائل المؤدية إلى فعل محرم وإعطائها </w:t>
      </w:r>
      <w:proofErr w:type="gramStart"/>
      <w:r w:rsidRPr="008C0FB5">
        <w:rPr>
          <w:rFonts w:hint="cs"/>
          <w:rtl/>
        </w:rPr>
        <w:t>حكمه</w:t>
      </w:r>
      <w:r w:rsidRPr="008C0FB5">
        <w:rPr>
          <w:rFonts w:cs="Saihat" w:hint="cs"/>
          <w:vertAlign w:val="superscript"/>
          <w:rtl/>
        </w:rPr>
        <w:t>(</w:t>
      </w:r>
      <w:proofErr w:type="gramEnd"/>
      <w:r w:rsidRPr="008C0FB5">
        <w:rPr>
          <w:rStyle w:val="af0"/>
          <w:rFonts w:cs="Saihat"/>
          <w:sz w:val="30"/>
          <w:rtl/>
        </w:rPr>
        <w:footnoteReference w:id="143"/>
      </w:r>
      <w:r w:rsidRPr="008C0FB5">
        <w:rPr>
          <w:rFonts w:cs="Saihat" w:hint="cs"/>
          <w:vertAlign w:val="superscript"/>
          <w:rtl/>
        </w:rPr>
        <w:t>)</w:t>
      </w:r>
      <w:r w:rsidRPr="008C0FB5">
        <w:rPr>
          <w:rFonts w:hint="cs"/>
          <w:rtl/>
        </w:rPr>
        <w:t>، وفتح الذرائع معناها إجازتها، وقد اهتم الإمام مالك في أكثر أبواب الفقه بهذه القاعدة أكثر من غيره، وتوسع فيها أيضاً الإمام أحمد بن حنبل، وسنرجئ بحث هذه القاعدة إلى المطلب الثاني من هذا المبحث.</w:t>
      </w:r>
    </w:p>
    <w:p w14:paraId="4091E0C4" w14:textId="77777777" w:rsidR="0094067A" w:rsidRPr="008C0FB5" w:rsidRDefault="0094067A" w:rsidP="00EE4C46">
      <w:pPr>
        <w:pStyle w:val="48"/>
        <w:rPr>
          <w:rFonts w:hint="cs"/>
          <w:b/>
          <w:bCs/>
          <w:rtl/>
        </w:rPr>
      </w:pPr>
      <w:r w:rsidRPr="008C0FB5">
        <w:rPr>
          <w:rFonts w:hint="cs"/>
          <w:b/>
          <w:bCs/>
          <w:rtl/>
        </w:rPr>
        <w:t>القاعدة الثانية: قاعدة الحيل:</w:t>
      </w:r>
    </w:p>
    <w:p w14:paraId="37688FFA" w14:textId="77777777" w:rsidR="0094067A" w:rsidRPr="008C0FB5" w:rsidRDefault="0094067A" w:rsidP="00C35031">
      <w:pPr>
        <w:pStyle w:val="48"/>
        <w:rPr>
          <w:rFonts w:hint="cs"/>
          <w:rtl/>
        </w:rPr>
      </w:pPr>
      <w:r w:rsidRPr="008C0FB5">
        <w:rPr>
          <w:rFonts w:hint="cs"/>
          <w:rtl/>
        </w:rPr>
        <w:t xml:space="preserve">وهي ما يتوصل به إلى مقصود بطريق خفي، وقد اختلف العلماء في حكمها، وذلك بالنظر إلى مآلها </w:t>
      </w:r>
      <w:proofErr w:type="gramStart"/>
      <w:r w:rsidRPr="008C0FB5">
        <w:rPr>
          <w:rFonts w:hint="cs"/>
          <w:rtl/>
        </w:rPr>
        <w:t>وعاقبتها</w:t>
      </w:r>
      <w:r w:rsidRPr="008C0FB5">
        <w:rPr>
          <w:rFonts w:cs="Saihat" w:hint="cs"/>
          <w:vertAlign w:val="superscript"/>
          <w:rtl/>
        </w:rPr>
        <w:t>(</w:t>
      </w:r>
      <w:proofErr w:type="gramEnd"/>
      <w:r w:rsidRPr="008C0FB5">
        <w:rPr>
          <w:rStyle w:val="af0"/>
          <w:rFonts w:cs="Saihat"/>
          <w:sz w:val="30"/>
          <w:rtl/>
        </w:rPr>
        <w:footnoteReference w:id="144"/>
      </w:r>
      <w:r w:rsidRPr="008C0FB5">
        <w:rPr>
          <w:rFonts w:cs="Saihat" w:hint="cs"/>
          <w:vertAlign w:val="superscript"/>
          <w:rtl/>
        </w:rPr>
        <w:t>)</w:t>
      </w:r>
      <w:r w:rsidRPr="008C0FB5">
        <w:rPr>
          <w:rFonts w:hint="cs"/>
          <w:rtl/>
        </w:rPr>
        <w:t>، ولذلك فقد خصصنا لهذه القاعدة فرعاً مستقلاً.</w:t>
      </w:r>
    </w:p>
    <w:p w14:paraId="41683C51" w14:textId="77777777" w:rsidR="0094067A" w:rsidRPr="008C0FB5" w:rsidRDefault="0094067A" w:rsidP="00EE4C46">
      <w:pPr>
        <w:pStyle w:val="48"/>
        <w:rPr>
          <w:rFonts w:hint="cs"/>
          <w:b/>
          <w:bCs/>
          <w:rtl/>
        </w:rPr>
      </w:pPr>
      <w:r w:rsidRPr="008C0FB5">
        <w:rPr>
          <w:rFonts w:hint="cs"/>
          <w:b/>
          <w:bCs/>
          <w:rtl/>
        </w:rPr>
        <w:lastRenderedPageBreak/>
        <w:t>القاعدة الثالثة: مراعاة الخلاف:</w:t>
      </w:r>
    </w:p>
    <w:p w14:paraId="56DEC8BD" w14:textId="77777777" w:rsidR="0094067A" w:rsidRPr="008C0FB5" w:rsidRDefault="0094067A" w:rsidP="00C35031">
      <w:pPr>
        <w:pStyle w:val="48"/>
        <w:rPr>
          <w:rFonts w:hint="cs"/>
          <w:rtl/>
        </w:rPr>
      </w:pPr>
      <w:r w:rsidRPr="008C0FB5">
        <w:rPr>
          <w:rFonts w:hint="cs"/>
          <w:rtl/>
        </w:rPr>
        <w:t xml:space="preserve">وهي من القواعد التي يكثر في الاستناد عليها علماء المالكية ومقتضاها ات الممنوعات في الشرع إذا وقعت، فلا يكون إيقاعها من المكلف سبباً في الحيف عليه بزائد على ما شرع له من الزواجر أو غيرها، كالغصب مثلاً إذا وقع فان المغصوب منه لابد أن يوفى حقه، ولكن على وجه لا يؤدي إلى الإضرار بالغاصب فوق ما يليق به العدل والإنصاف، فيؤخذ من الغاصب ما غصبه أو قيمته أو مثله ويعاد إلى المغصوب منه بلا زيادة، وكذلك الزاني إذا حد لا يزاد عليه بسبب جنايته لأنه ظلم وتجاوز في الجزاء عن الحد الموازي </w:t>
      </w:r>
      <w:proofErr w:type="gramStart"/>
      <w:r w:rsidRPr="008C0FB5">
        <w:rPr>
          <w:rFonts w:hint="cs"/>
          <w:rtl/>
        </w:rPr>
        <w:t>للجناية</w:t>
      </w:r>
      <w:r w:rsidRPr="008C0FB5">
        <w:rPr>
          <w:rFonts w:cs="Saihat" w:hint="cs"/>
          <w:vertAlign w:val="superscript"/>
          <w:rtl/>
        </w:rPr>
        <w:t>(</w:t>
      </w:r>
      <w:proofErr w:type="gramEnd"/>
      <w:r w:rsidRPr="008C0FB5">
        <w:rPr>
          <w:rStyle w:val="af0"/>
          <w:rFonts w:cs="Saihat"/>
          <w:sz w:val="30"/>
          <w:rtl/>
        </w:rPr>
        <w:footnoteReference w:id="145"/>
      </w:r>
      <w:r w:rsidRPr="008C0FB5">
        <w:rPr>
          <w:rFonts w:cs="Saihat" w:hint="cs"/>
          <w:vertAlign w:val="superscript"/>
          <w:rtl/>
        </w:rPr>
        <w:t>)</w:t>
      </w:r>
      <w:r w:rsidRPr="008C0FB5">
        <w:rPr>
          <w:rFonts w:hint="cs"/>
          <w:rtl/>
        </w:rPr>
        <w:t>.</w:t>
      </w:r>
    </w:p>
    <w:p w14:paraId="3BC7E848" w14:textId="77777777" w:rsidR="0094067A" w:rsidRPr="008C0FB5" w:rsidRDefault="0094067A" w:rsidP="00C35031">
      <w:pPr>
        <w:pStyle w:val="35"/>
        <w:rPr>
          <w:rFonts w:hint="cs"/>
          <w:rtl/>
        </w:rPr>
      </w:pPr>
      <w:r w:rsidRPr="008C0FB5">
        <w:rPr>
          <w:rFonts w:hint="cs"/>
          <w:rtl/>
        </w:rPr>
        <w:t>وإذا كانت هذه القاعدة تصدق في حالة كون ما يقع من المكلف ممنوعاً بالاتفاق، فان ما كان محلاً للاختلاف بين المجتهدين، من باب أولى أن يراعى دليل صحته وإن كان مرجوحاً عند هذا المجتهد، فلا يكون ما وقع سبباً للحيف عليه، بل ينظر إلى الأمر الواقع وإلى المآل، فعلى سبيل المثال نكاح المرأة بدون إذن وليها موجب لاستحقاق المرأة المهر وكذا الميراث عند الإمام مالك، مع كونه يقول بفساد النكاح بدون ولي، وهذا منه مبني على مراعاة المآل في نظر الشارع، فالمراد مراعاة الخلاف في الواقع بين المجتهدين، والتعويل بعد وقوع التصرف من المكلف على قول وإن كان مرجوحاً عند المجتهد ليقر تصرفاً حصل منهياً عنه على القول الراجح عنده، وان له بعد الوقوع حكماً لم يكن قبله، وذلك نظر إلى المآل لأنه لو حكم على التصرف استناداً إلى القول الراجح لديه بعد وقوعه لكان في ذلك مفسدة تساوي أو تزيد على مفسدة النهي عن الفعل ذاته</w:t>
      </w:r>
      <w:r w:rsidRPr="008C0FB5">
        <w:rPr>
          <w:rFonts w:cs="Saihat" w:hint="cs"/>
          <w:vertAlign w:val="superscript"/>
          <w:rtl/>
        </w:rPr>
        <w:t>(</w:t>
      </w:r>
      <w:r w:rsidRPr="008C0FB5">
        <w:rPr>
          <w:rStyle w:val="af0"/>
          <w:rFonts w:cs="Saihat"/>
          <w:sz w:val="30"/>
          <w:rtl/>
        </w:rPr>
        <w:footnoteReference w:id="146"/>
      </w:r>
      <w:r w:rsidRPr="008C0FB5">
        <w:rPr>
          <w:rFonts w:cs="Saihat" w:hint="cs"/>
          <w:vertAlign w:val="superscript"/>
          <w:rtl/>
        </w:rPr>
        <w:t>)</w:t>
      </w:r>
      <w:r w:rsidRPr="008C0FB5">
        <w:rPr>
          <w:rFonts w:hint="cs"/>
          <w:rtl/>
        </w:rPr>
        <w:t>.</w:t>
      </w:r>
    </w:p>
    <w:p w14:paraId="7F26E207" w14:textId="77777777" w:rsidR="0094067A" w:rsidRPr="008C0FB5" w:rsidRDefault="0094067A" w:rsidP="00EE4C46">
      <w:pPr>
        <w:pStyle w:val="48"/>
        <w:rPr>
          <w:rFonts w:hint="cs"/>
          <w:b/>
          <w:bCs/>
          <w:rtl/>
        </w:rPr>
      </w:pPr>
      <w:r w:rsidRPr="008C0FB5">
        <w:rPr>
          <w:rFonts w:hint="cs"/>
          <w:b/>
          <w:bCs/>
          <w:rtl/>
        </w:rPr>
        <w:t>القاعدة الرابعة: الاستحسان:</w:t>
      </w:r>
    </w:p>
    <w:p w14:paraId="11BA1883" w14:textId="77777777" w:rsidR="0094067A" w:rsidRPr="008C0FB5" w:rsidRDefault="0094067A" w:rsidP="00C35031">
      <w:pPr>
        <w:pStyle w:val="48"/>
        <w:rPr>
          <w:rFonts w:hint="cs"/>
          <w:rtl/>
        </w:rPr>
      </w:pPr>
      <w:r w:rsidRPr="008C0FB5">
        <w:rPr>
          <w:rFonts w:hint="cs"/>
          <w:rtl/>
        </w:rPr>
        <w:t xml:space="preserve">عرف الاستحسان بعدة تعريفات لعل أفضلها وأقربها إلى الواقع ما ذهب إليه الدكتور مصطفى الزلمي إذ عرف الاستحسان بأنه </w:t>
      </w:r>
    </w:p>
    <w:p w14:paraId="2B4B17B5" w14:textId="77777777" w:rsidR="0094067A" w:rsidRPr="008C0FB5" w:rsidRDefault="0094067A" w:rsidP="00A613BA">
      <w:pPr>
        <w:pStyle w:val="afffffff1"/>
        <w:rPr>
          <w:rFonts w:hint="cs"/>
          <w:rtl/>
        </w:rPr>
      </w:pPr>
      <w:r w:rsidRPr="008C0FB5">
        <w:rPr>
          <w:rFonts w:hint="cs"/>
          <w:rtl/>
        </w:rPr>
        <w:t xml:space="preserve">عبارة عن عملية اجتهادية عقلية تستهدف ترجيح العمل بدليل الحكم الاستثنائي على العمل بدليل الحكم الأصلي في واقعة معينة، إذا وجده المجتهد أحسن بمعيار </w:t>
      </w:r>
      <w:proofErr w:type="gramStart"/>
      <w:r w:rsidRPr="008C0FB5">
        <w:rPr>
          <w:rFonts w:hint="cs"/>
          <w:rtl/>
        </w:rPr>
        <w:t>شرعي</w:t>
      </w:r>
      <w:r w:rsidRPr="008C0FB5">
        <w:rPr>
          <w:rFonts w:hint="cs"/>
          <w:szCs w:val="30"/>
          <w:vertAlign w:val="superscript"/>
          <w:rtl/>
        </w:rPr>
        <w:t>(</w:t>
      </w:r>
      <w:proofErr w:type="gramEnd"/>
      <w:r w:rsidRPr="008C0FB5">
        <w:rPr>
          <w:rStyle w:val="af0"/>
          <w:sz w:val="30"/>
          <w:szCs w:val="30"/>
          <w:rtl/>
        </w:rPr>
        <w:footnoteReference w:id="147"/>
      </w:r>
      <w:r w:rsidRPr="008C0FB5">
        <w:rPr>
          <w:rFonts w:hint="cs"/>
          <w:szCs w:val="30"/>
          <w:vertAlign w:val="superscript"/>
          <w:rtl/>
        </w:rPr>
        <w:t>)</w:t>
      </w:r>
      <w:r w:rsidRPr="008C0FB5">
        <w:rPr>
          <w:rFonts w:hint="cs"/>
          <w:rtl/>
        </w:rPr>
        <w:t>.</w:t>
      </w:r>
    </w:p>
    <w:p w14:paraId="7AD9447B" w14:textId="77777777" w:rsidR="0094067A" w:rsidRPr="008C0FB5" w:rsidRDefault="0094067A" w:rsidP="00C35031">
      <w:pPr>
        <w:pStyle w:val="35"/>
        <w:rPr>
          <w:rFonts w:hint="cs"/>
          <w:rtl/>
        </w:rPr>
      </w:pPr>
      <w:r w:rsidRPr="008C0FB5">
        <w:rPr>
          <w:rFonts w:hint="cs"/>
          <w:rtl/>
        </w:rPr>
        <w:t xml:space="preserve">ويتفرع عن الاستحسان سائر الترخيصات، إذ حقيقتها ترجع إلى اعتبار المآل في تحصيل المصالح أو درء المفاسد على وجه الخصوص حيث كان الدليل العام يقتضي منه ذلك لأننا لو بقينا مع أصل ذلك الدليل لأدى إلى الحرج وما اقتضاه ذلك الدليل من المصلحة، فكان الواجب مراعاة ذلك المآل إلى أقصاه </w:t>
      </w:r>
      <w:proofErr w:type="gramStart"/>
      <w:r w:rsidRPr="008C0FB5">
        <w:rPr>
          <w:rFonts w:hint="cs"/>
          <w:rtl/>
        </w:rPr>
        <w:t>ومنتهاه</w:t>
      </w:r>
      <w:r w:rsidRPr="008C0FB5">
        <w:rPr>
          <w:rFonts w:cs="Saihat" w:hint="cs"/>
          <w:vertAlign w:val="superscript"/>
          <w:rtl/>
        </w:rPr>
        <w:t>(</w:t>
      </w:r>
      <w:proofErr w:type="gramEnd"/>
      <w:r w:rsidRPr="008C0FB5">
        <w:rPr>
          <w:rStyle w:val="af0"/>
          <w:rFonts w:cs="Saihat"/>
          <w:sz w:val="30"/>
          <w:rtl/>
        </w:rPr>
        <w:footnoteReference w:id="148"/>
      </w:r>
      <w:r w:rsidRPr="008C0FB5">
        <w:rPr>
          <w:rFonts w:cs="Saihat" w:hint="cs"/>
          <w:vertAlign w:val="superscript"/>
          <w:rtl/>
        </w:rPr>
        <w:t>)</w:t>
      </w:r>
      <w:r w:rsidRPr="008C0FB5">
        <w:rPr>
          <w:rFonts w:hint="cs"/>
          <w:rtl/>
        </w:rPr>
        <w:t>، ويعتبر الاستحسان عند أغلب الفقهاء أصلاً مستقلاً من أصول الاجتهاد</w:t>
      </w:r>
      <w:r w:rsidRPr="008C0FB5">
        <w:rPr>
          <w:rFonts w:cs="Saihat" w:hint="cs"/>
          <w:vertAlign w:val="superscript"/>
          <w:rtl/>
        </w:rPr>
        <w:t>(</w:t>
      </w:r>
      <w:r w:rsidRPr="008C0FB5">
        <w:rPr>
          <w:rStyle w:val="af0"/>
          <w:rFonts w:cs="Saihat"/>
          <w:sz w:val="30"/>
          <w:rtl/>
        </w:rPr>
        <w:footnoteReference w:id="149"/>
      </w:r>
      <w:r w:rsidRPr="008C0FB5">
        <w:rPr>
          <w:rFonts w:cs="Saihat" w:hint="cs"/>
          <w:vertAlign w:val="superscript"/>
          <w:rtl/>
        </w:rPr>
        <w:t>)</w:t>
      </w:r>
      <w:r w:rsidRPr="008C0FB5">
        <w:rPr>
          <w:rFonts w:hint="cs"/>
          <w:rtl/>
        </w:rPr>
        <w:t>.</w:t>
      </w:r>
    </w:p>
    <w:p w14:paraId="7C2518B1" w14:textId="77777777" w:rsidR="0094067A" w:rsidRPr="008C0FB5" w:rsidRDefault="0094067A" w:rsidP="00EE4C46">
      <w:pPr>
        <w:pStyle w:val="48"/>
        <w:rPr>
          <w:rFonts w:hint="cs"/>
          <w:b/>
          <w:bCs/>
          <w:rtl/>
        </w:rPr>
      </w:pPr>
      <w:r w:rsidRPr="008C0FB5">
        <w:rPr>
          <w:rFonts w:hint="cs"/>
          <w:b/>
          <w:bCs/>
          <w:rtl/>
        </w:rPr>
        <w:t>القاعدة الخامسة: المقدمات تأخذ حكم نتائجها:</w:t>
      </w:r>
    </w:p>
    <w:p w14:paraId="363141CD" w14:textId="77777777" w:rsidR="0094067A" w:rsidRPr="008C0FB5" w:rsidRDefault="0094067A" w:rsidP="00C35031">
      <w:pPr>
        <w:pStyle w:val="48"/>
        <w:rPr>
          <w:rFonts w:hint="cs"/>
          <w:rtl/>
        </w:rPr>
      </w:pPr>
      <w:r w:rsidRPr="008C0FB5">
        <w:rPr>
          <w:rFonts w:hint="cs"/>
          <w:rtl/>
        </w:rPr>
        <w:t xml:space="preserve">فمقدمة الواجب واجب، ومقدمة الحرام حرام، ومقدمة المندوب مندوب، ومقدمة المكروه مكروه، </w:t>
      </w:r>
      <w:r w:rsidRPr="008C0FB5">
        <w:rPr>
          <w:rFonts w:hint="cs"/>
          <w:rtl/>
        </w:rPr>
        <w:lastRenderedPageBreak/>
        <w:t xml:space="preserve">ومقدمة المباح </w:t>
      </w:r>
      <w:proofErr w:type="gramStart"/>
      <w:r w:rsidRPr="008C0FB5">
        <w:rPr>
          <w:rFonts w:hint="cs"/>
          <w:rtl/>
        </w:rPr>
        <w:t>مباح</w:t>
      </w:r>
      <w:r w:rsidRPr="008C0FB5">
        <w:rPr>
          <w:rFonts w:cs="Saihat" w:hint="cs"/>
          <w:vertAlign w:val="superscript"/>
          <w:rtl/>
        </w:rPr>
        <w:t>(</w:t>
      </w:r>
      <w:proofErr w:type="gramEnd"/>
      <w:r w:rsidRPr="008C0FB5">
        <w:rPr>
          <w:rStyle w:val="af0"/>
          <w:rFonts w:cs="Saihat"/>
          <w:sz w:val="30"/>
          <w:rtl/>
        </w:rPr>
        <w:footnoteReference w:id="150"/>
      </w:r>
      <w:r w:rsidRPr="008C0FB5">
        <w:rPr>
          <w:rFonts w:cs="Saihat" w:hint="cs"/>
          <w:vertAlign w:val="superscript"/>
          <w:rtl/>
        </w:rPr>
        <w:t>)</w:t>
      </w:r>
      <w:r w:rsidRPr="008C0FB5">
        <w:rPr>
          <w:rFonts w:hint="cs"/>
          <w:rtl/>
        </w:rPr>
        <w:t>، وبهذا يكون السعي إلى صلاة الجمعة واجب لوجوب تلك الصلاة، وكذلك السعي إلى الحج والجهاد، والوضوء واجب أيضاً لأنه مقدمة للصلاة، وهذه الأفعال مقدمات وليست ذرائع</w:t>
      </w:r>
      <w:r w:rsidRPr="008C0FB5">
        <w:rPr>
          <w:rFonts w:cs="Saihat" w:hint="cs"/>
          <w:vertAlign w:val="superscript"/>
          <w:rtl/>
        </w:rPr>
        <w:t>(</w:t>
      </w:r>
      <w:r w:rsidRPr="008C0FB5">
        <w:rPr>
          <w:rStyle w:val="af0"/>
          <w:rFonts w:cs="Saihat"/>
          <w:sz w:val="30"/>
          <w:rtl/>
        </w:rPr>
        <w:footnoteReference w:id="151"/>
      </w:r>
      <w:r w:rsidRPr="008C0FB5">
        <w:rPr>
          <w:rFonts w:cs="Saihat" w:hint="cs"/>
          <w:vertAlign w:val="superscript"/>
          <w:rtl/>
        </w:rPr>
        <w:t>)</w:t>
      </w:r>
      <w:r w:rsidRPr="008C0FB5">
        <w:rPr>
          <w:rFonts w:hint="cs"/>
          <w:rtl/>
        </w:rPr>
        <w:t>.</w:t>
      </w:r>
    </w:p>
    <w:p w14:paraId="1AB626EC" w14:textId="77777777" w:rsidR="0094067A" w:rsidRPr="008C0FB5" w:rsidRDefault="0094067A" w:rsidP="00C35031">
      <w:pPr>
        <w:pStyle w:val="35"/>
        <w:rPr>
          <w:rFonts w:hint="cs"/>
          <w:rtl/>
        </w:rPr>
      </w:pPr>
      <w:r w:rsidRPr="008C0FB5">
        <w:rPr>
          <w:rFonts w:hint="cs"/>
          <w:rtl/>
        </w:rPr>
        <w:t>وهذه القواعد كلها تؤيد ها الأصل، وهي بذلك تقوم بدور عظيم في حفظ مقاصد الشارع، وتمنع الوقوع ي ما يخالف هذه المقاصد، إلا ان قاعدة الذرائع أهم هذه القواعد وأعملها، فأحكامها تطبق على الأفعال المباحة التي تؤدي إلى المآل الممنوع سواء كان ذلك بقصد من المكلف، أو بغير قصد منه فهي تعتبر بذلك ذات نظرتين:</w:t>
      </w:r>
    </w:p>
    <w:p w14:paraId="58FFF038" w14:textId="77777777" w:rsidR="0094067A" w:rsidRPr="008C0FB5" w:rsidRDefault="0094067A" w:rsidP="00EE4C46">
      <w:pPr>
        <w:pStyle w:val="48"/>
        <w:rPr>
          <w:rFonts w:hint="cs"/>
          <w:b/>
          <w:bCs/>
          <w:rtl/>
        </w:rPr>
      </w:pPr>
      <w:r w:rsidRPr="008C0FB5">
        <w:rPr>
          <w:rFonts w:hint="cs"/>
          <w:b/>
          <w:bCs/>
          <w:rtl/>
        </w:rPr>
        <w:t>أولاً: نظرة مادية:</w:t>
      </w:r>
    </w:p>
    <w:p w14:paraId="6DAF6EEE" w14:textId="77777777" w:rsidR="0094067A" w:rsidRPr="008C0FB5" w:rsidRDefault="0094067A" w:rsidP="00C35031">
      <w:pPr>
        <w:pStyle w:val="48"/>
        <w:rPr>
          <w:rFonts w:hint="cs"/>
          <w:rtl/>
        </w:rPr>
      </w:pPr>
      <w:r w:rsidRPr="008C0FB5">
        <w:rPr>
          <w:rFonts w:hint="cs"/>
          <w:rtl/>
        </w:rPr>
        <w:t>وهي نظرة إلى مآلات الأفعال من الناحية المادية فقط بغض النظر عن نية المكلف فيمنع الفعل المفضي إلى مآل ممنوع ولو كان الباعث عليه مشروعاً.</w:t>
      </w:r>
    </w:p>
    <w:p w14:paraId="7E3F9173" w14:textId="77777777" w:rsidR="0094067A" w:rsidRPr="008C0FB5" w:rsidRDefault="0094067A" w:rsidP="00EE4C46">
      <w:pPr>
        <w:pStyle w:val="48"/>
        <w:rPr>
          <w:rFonts w:hint="cs"/>
          <w:b/>
          <w:bCs/>
          <w:rtl/>
        </w:rPr>
      </w:pPr>
      <w:r w:rsidRPr="008C0FB5">
        <w:rPr>
          <w:rFonts w:hint="cs"/>
          <w:b/>
          <w:bCs/>
          <w:rtl/>
        </w:rPr>
        <w:t>ثانياً: نظرة ذاتية:</w:t>
      </w:r>
    </w:p>
    <w:p w14:paraId="67BBE5AE" w14:textId="77777777" w:rsidR="0094067A" w:rsidRPr="008C0FB5" w:rsidRDefault="0094067A" w:rsidP="00C35031">
      <w:pPr>
        <w:pStyle w:val="48"/>
        <w:rPr>
          <w:rFonts w:hint="cs"/>
          <w:rtl/>
        </w:rPr>
      </w:pPr>
      <w:r w:rsidRPr="008C0FB5">
        <w:rPr>
          <w:rFonts w:hint="cs"/>
          <w:rtl/>
        </w:rPr>
        <w:t>أي النظر إلى مآلات الأفعال من خلال قصد المكلف فتمنع الأفعال التي يقصد منها عادة تحقيق أغراض غير مشروعة.</w:t>
      </w:r>
    </w:p>
    <w:p w14:paraId="2E673C9F" w14:textId="77777777" w:rsidR="0094067A" w:rsidRPr="008C0FB5" w:rsidRDefault="0094067A" w:rsidP="00C35031">
      <w:pPr>
        <w:pStyle w:val="35"/>
        <w:rPr>
          <w:rFonts w:hint="cs"/>
          <w:rtl/>
        </w:rPr>
      </w:pPr>
      <w:r w:rsidRPr="008C0FB5">
        <w:rPr>
          <w:rFonts w:hint="cs"/>
          <w:rtl/>
        </w:rPr>
        <w:t>فقاعدة الذرائع إذ تحوي هذا الشق الثاني فانها تشمل أيضاً قاعدة الحيل، وقاعدة الأمور بمقاصدها، وهي بذلك تؤيد نظرية الباعث التي هي موضوع بحثنا، ولذلك سأتناول هذه القاعدة بالتفصيل في المطلب الثاني وأما في المطلب الثالث فسأتناول قاعدة الحيل وقاعدة الأمور بمقاصدها.</w:t>
      </w:r>
    </w:p>
    <w:p w14:paraId="498D75A1" w14:textId="77777777" w:rsidR="0094067A" w:rsidRPr="008C0FB5" w:rsidRDefault="00202833" w:rsidP="00C253D0">
      <w:pPr>
        <w:pStyle w:val="a1"/>
        <w:rPr>
          <w:rFonts w:hint="cs"/>
          <w:rtl/>
        </w:rPr>
      </w:pPr>
      <w:r w:rsidRPr="008C0FB5">
        <w:rPr>
          <w:rtl/>
        </w:rPr>
        <w:br w:type="page"/>
      </w:r>
      <w:bookmarkStart w:id="67" w:name="_Toc8643659"/>
      <w:r w:rsidR="0094067A" w:rsidRPr="008C0FB5">
        <w:rPr>
          <w:rFonts w:hint="cs"/>
          <w:rtl/>
        </w:rPr>
        <w:lastRenderedPageBreak/>
        <w:t>المطلب الثاني: قاعدة الذرائع (سدها وفتحها)</w:t>
      </w:r>
      <w:bookmarkEnd w:id="67"/>
    </w:p>
    <w:p w14:paraId="52E68178" w14:textId="77777777" w:rsidR="0094067A" w:rsidRPr="008C0FB5" w:rsidRDefault="0094067A" w:rsidP="00C35031">
      <w:pPr>
        <w:pStyle w:val="48"/>
        <w:rPr>
          <w:rFonts w:hint="cs"/>
          <w:rtl/>
        </w:rPr>
      </w:pPr>
      <w:r w:rsidRPr="008C0FB5">
        <w:rPr>
          <w:rFonts w:hint="cs"/>
          <w:rtl/>
        </w:rPr>
        <w:t>لما تتميز به قاعدة الذرائع من أهمية كبرى في الحياة العملية وخاصة بالنسبة للباعث باعتباره تطبيقاً من تطبيقاتها لذلك آثرنا على بحثها بشكل مفصل في مطلب مستقل قسمناه إلى ثلاثة فروع تناولنا في أولها التعريف بقاعدة الذرائع وبحثنا في ثانيها تقسيمات الفقهاء للذرائع أما ثالثها فقد خصصناه للاستنتاجات التي توصلنا إليها في بحثنا لهذه القاعدة.</w:t>
      </w:r>
    </w:p>
    <w:p w14:paraId="7001CC95" w14:textId="77777777" w:rsidR="0094067A" w:rsidRPr="008C0FB5" w:rsidRDefault="0094067A" w:rsidP="00C253D0">
      <w:pPr>
        <w:pStyle w:val="af8"/>
        <w:rPr>
          <w:rFonts w:hint="cs"/>
          <w:rtl/>
          <w:lang w:bidi="ar-IQ"/>
        </w:rPr>
      </w:pPr>
      <w:bookmarkStart w:id="68" w:name="_Toc8643660"/>
      <w:r w:rsidRPr="008C0FB5">
        <w:rPr>
          <w:rFonts w:hint="cs"/>
          <w:rtl/>
          <w:lang w:bidi="ar-IQ"/>
        </w:rPr>
        <w:t>الفرع الأول: التعريف بالذرائع (سدها وفتحها)</w:t>
      </w:r>
      <w:bookmarkEnd w:id="68"/>
    </w:p>
    <w:p w14:paraId="101250DD" w14:textId="77777777" w:rsidR="0094067A" w:rsidRPr="008C0FB5" w:rsidRDefault="0094067A" w:rsidP="00C35031">
      <w:pPr>
        <w:pStyle w:val="48"/>
        <w:rPr>
          <w:rFonts w:hint="cs"/>
          <w:rtl/>
        </w:rPr>
      </w:pPr>
      <w:r w:rsidRPr="008C0FB5">
        <w:rPr>
          <w:rFonts w:hint="cs"/>
          <w:rtl/>
        </w:rPr>
        <w:t xml:space="preserve">الذريعة معناها </w:t>
      </w:r>
      <w:proofErr w:type="gramStart"/>
      <w:r w:rsidRPr="008C0FB5">
        <w:rPr>
          <w:rFonts w:hint="cs"/>
          <w:rtl/>
        </w:rPr>
        <w:t>الوسيلة</w:t>
      </w:r>
      <w:r w:rsidRPr="008C0FB5">
        <w:rPr>
          <w:rFonts w:cs="Saihat" w:hint="cs"/>
          <w:vertAlign w:val="superscript"/>
          <w:rtl/>
        </w:rPr>
        <w:t>(</w:t>
      </w:r>
      <w:proofErr w:type="gramEnd"/>
      <w:r w:rsidRPr="008C0FB5">
        <w:rPr>
          <w:rStyle w:val="af0"/>
          <w:rFonts w:cs="Saihat"/>
          <w:sz w:val="30"/>
          <w:rtl/>
        </w:rPr>
        <w:footnoteReference w:id="152"/>
      </w:r>
      <w:r w:rsidRPr="008C0FB5">
        <w:rPr>
          <w:rFonts w:cs="Saihat" w:hint="cs"/>
          <w:vertAlign w:val="superscript"/>
          <w:rtl/>
        </w:rPr>
        <w:t>)</w:t>
      </w:r>
      <w:r w:rsidRPr="008C0FB5">
        <w:rPr>
          <w:rFonts w:hint="cs"/>
          <w:rtl/>
        </w:rPr>
        <w:t>، ومعنى سد الذرائع أي منعها، ومعنى فتح الذرائع أي إجازتها ومؤدى الكلام ان وسيلة المحرم محرمة، ووسيلة الواجب واجبة، فالفاحشة حرام، والنظر إلى عورة الأجنبية حرام لأنها تؤدي إلى الفاحشة، والجمعة فرض فالسعي إليها فرض وترك البيع لأجل الفرض فرض أيضاً</w:t>
      </w:r>
      <w:r w:rsidRPr="008C0FB5">
        <w:rPr>
          <w:rFonts w:cs="Saihat" w:hint="cs"/>
          <w:vertAlign w:val="superscript"/>
          <w:rtl/>
        </w:rPr>
        <w:t>(</w:t>
      </w:r>
      <w:r w:rsidRPr="008C0FB5">
        <w:rPr>
          <w:rStyle w:val="af0"/>
          <w:rFonts w:cs="Saihat"/>
          <w:sz w:val="30"/>
          <w:rtl/>
        </w:rPr>
        <w:footnoteReference w:id="153"/>
      </w:r>
      <w:r w:rsidRPr="008C0FB5">
        <w:rPr>
          <w:rFonts w:cs="Saihat" w:hint="cs"/>
          <w:vertAlign w:val="superscript"/>
          <w:rtl/>
        </w:rPr>
        <w:t>)</w:t>
      </w:r>
      <w:r w:rsidRPr="008C0FB5">
        <w:rPr>
          <w:rFonts w:hint="cs"/>
          <w:rtl/>
        </w:rPr>
        <w:t>.</w:t>
      </w:r>
    </w:p>
    <w:p w14:paraId="29B4F4F2" w14:textId="77777777" w:rsidR="0094067A" w:rsidRPr="008C0FB5" w:rsidRDefault="0094067A" w:rsidP="00202833">
      <w:pPr>
        <w:pStyle w:val="35"/>
        <w:spacing w:line="240" w:lineRule="auto"/>
        <w:rPr>
          <w:rFonts w:hint="cs"/>
          <w:rtl/>
        </w:rPr>
      </w:pPr>
      <w:r w:rsidRPr="008C0FB5">
        <w:rPr>
          <w:rFonts w:hint="cs"/>
          <w:rtl/>
        </w:rPr>
        <w:t xml:space="preserve">وبيان ذلك ان موارد الأحكام قسمان: مقاصد، وهي الأمور المكونة للمصالح والمفاسد في أنفسها أي التي هي في ذاتها مصالح أو مفاسد، ووسائل وهي الطرق المفضية إليها، وحكمها كحكم ما أفضت غليه من تحريم أو تحليل، غير انها أخفض رتبة من المقاصد في حكمها ويقول القرافي: </w:t>
      </w:r>
    </w:p>
    <w:p w14:paraId="1E25A668" w14:textId="77777777" w:rsidR="0094067A" w:rsidRPr="008C0FB5" w:rsidRDefault="0094067A" w:rsidP="00A613BA">
      <w:pPr>
        <w:pStyle w:val="afffffff1"/>
        <w:rPr>
          <w:rFonts w:hint="cs"/>
          <w:rtl/>
        </w:rPr>
      </w:pPr>
      <w:r w:rsidRPr="008C0FB5">
        <w:rPr>
          <w:rFonts w:hint="cs"/>
          <w:rtl/>
        </w:rPr>
        <w:t xml:space="preserve">الوسيلة إلى أفضل المقاصد أفضل الوسائل وإلى أقبح المقاصد أقبح الوسائل وإلى ما هو متوسط </w:t>
      </w:r>
      <w:proofErr w:type="gramStart"/>
      <w:r w:rsidRPr="008C0FB5">
        <w:rPr>
          <w:rFonts w:hint="cs"/>
          <w:rtl/>
        </w:rPr>
        <w:t>متوسطة</w:t>
      </w:r>
      <w:r w:rsidRPr="008C0FB5">
        <w:rPr>
          <w:rFonts w:hint="cs"/>
          <w:szCs w:val="30"/>
          <w:vertAlign w:val="superscript"/>
          <w:rtl/>
        </w:rPr>
        <w:t>(</w:t>
      </w:r>
      <w:proofErr w:type="gramEnd"/>
      <w:r w:rsidRPr="008C0FB5">
        <w:rPr>
          <w:rStyle w:val="af0"/>
          <w:sz w:val="30"/>
          <w:szCs w:val="30"/>
          <w:rtl/>
        </w:rPr>
        <w:footnoteReference w:id="154"/>
      </w:r>
      <w:r w:rsidRPr="008C0FB5">
        <w:rPr>
          <w:rFonts w:hint="cs"/>
          <w:szCs w:val="30"/>
          <w:vertAlign w:val="superscript"/>
          <w:rtl/>
        </w:rPr>
        <w:t>)</w:t>
      </w:r>
      <w:r w:rsidRPr="008C0FB5">
        <w:rPr>
          <w:rFonts w:hint="cs"/>
          <w:rtl/>
        </w:rPr>
        <w:t xml:space="preserve">. </w:t>
      </w:r>
    </w:p>
    <w:p w14:paraId="256DA9FE" w14:textId="77777777" w:rsidR="0094067A" w:rsidRPr="008C0FB5" w:rsidRDefault="0094067A" w:rsidP="00C35031">
      <w:pPr>
        <w:pStyle w:val="35"/>
        <w:rPr>
          <w:rFonts w:hint="cs"/>
          <w:rtl/>
        </w:rPr>
      </w:pPr>
      <w:r w:rsidRPr="008C0FB5">
        <w:rPr>
          <w:rFonts w:hint="cs"/>
          <w:rtl/>
        </w:rPr>
        <w:t xml:space="preserve">وجاء في كتاب أعلام الموقعين في تصوير هذا المبدأ: </w:t>
      </w:r>
    </w:p>
    <w:p w14:paraId="7B1F3050" w14:textId="77777777" w:rsidR="0094067A" w:rsidRPr="008C0FB5" w:rsidRDefault="0094067A" w:rsidP="00A613BA">
      <w:pPr>
        <w:pStyle w:val="afffffff1"/>
        <w:rPr>
          <w:rFonts w:hint="cs"/>
          <w:rtl/>
        </w:rPr>
      </w:pPr>
      <w:r w:rsidRPr="008C0FB5">
        <w:rPr>
          <w:rFonts w:hint="cs"/>
          <w:rtl/>
        </w:rPr>
        <w:t>لما كانت المقاصد لا يتوصل إليها إلا بأسباب وطرق تفضي إليها، كانت طرقها وأسبابها تابعة لها معتبرة بها، فوسائل المحرمات والمعاصي في كراهيتها والمنع بها بحسب إفضائها إلى غاياتها، وارتباطاتها، ووسائل الطاعات والقربان في محبتها والإذن بها، بحسب إفضائها إلى غايتها، فوسيلة المقصود تابعة للمقصود وكلاهما مقصود لكنها مقصود قصد الغايات وهي مقصودة قصد الوسائل، فإذا حرّم الرب تعالى شيئاً، وله طرق، ووسائل تفضي إليه، فانه يحرمها، ويمنع منها تحقيقاً لتحريمه وتثبيتاً له ومنهاً أن يقرب حماه، ولو أباح الوسائل والذرائع المفضية إليه لكان ذلك نقضاً للتحريم، وإغراء للنفوس به، وحكمته تعالى وعلمه يأبى ذلك كل الإباء، بل سياسة ملوك الدنيا تأبى ذلك، فان أحدهم إذا منع جنده أو رعيته أو أهل بيته من شيء، ثم أباح لهم الطرق والأسباب والذرائع الموصلة، يعد متناقضاً، ولحصل من رعيته وجنده ضد مقصوده، وكذلك الأطباء إذا أرادوا حسم الداء منعوا صاحبه من الطرق والذرائع الموصلة إليه وإلا فسد عليهم ما يرومون إصلاحه، فما الظن بهذه الشريعة التي هي في أعلى درجات الحكمة والمصلحة والكمال ومن تأمل مصادرها ومواردها علم ان الله تعالى ورسوله سد الذرائع المفضية إلى المحارم بأن حرمها ونهى عنها</w:t>
      </w:r>
      <w:r w:rsidRPr="008C0FB5">
        <w:rPr>
          <w:rFonts w:hint="cs"/>
          <w:szCs w:val="30"/>
          <w:vertAlign w:val="superscript"/>
          <w:rtl/>
        </w:rPr>
        <w:t>(</w:t>
      </w:r>
      <w:r w:rsidRPr="008C0FB5">
        <w:rPr>
          <w:rStyle w:val="af0"/>
          <w:sz w:val="30"/>
          <w:szCs w:val="30"/>
          <w:rtl/>
        </w:rPr>
        <w:footnoteReference w:id="155"/>
      </w:r>
      <w:r w:rsidRPr="008C0FB5">
        <w:rPr>
          <w:rFonts w:hint="cs"/>
          <w:szCs w:val="30"/>
          <w:vertAlign w:val="superscript"/>
          <w:rtl/>
        </w:rPr>
        <w:t>)</w:t>
      </w:r>
      <w:r w:rsidRPr="008C0FB5">
        <w:rPr>
          <w:rFonts w:hint="cs"/>
          <w:rtl/>
        </w:rPr>
        <w:t>.</w:t>
      </w:r>
    </w:p>
    <w:p w14:paraId="768D725B" w14:textId="77777777" w:rsidR="0094067A" w:rsidRPr="008C0FB5" w:rsidRDefault="0094067A" w:rsidP="00EE4C46">
      <w:pPr>
        <w:pStyle w:val="48"/>
        <w:rPr>
          <w:rFonts w:hint="cs"/>
          <w:b/>
          <w:bCs/>
          <w:rtl/>
        </w:rPr>
      </w:pPr>
      <w:r w:rsidRPr="008C0FB5">
        <w:rPr>
          <w:rFonts w:hint="cs"/>
          <w:b/>
          <w:bCs/>
          <w:rtl/>
        </w:rPr>
        <w:t>أما دليل هذا المبدأ فقد ثبت في القرآن والسنة:</w:t>
      </w:r>
    </w:p>
    <w:p w14:paraId="2B6912A8" w14:textId="77777777" w:rsidR="0094067A" w:rsidRPr="008C0FB5" w:rsidRDefault="0094067A" w:rsidP="00EE4C46">
      <w:pPr>
        <w:pStyle w:val="48"/>
        <w:rPr>
          <w:rFonts w:hint="cs"/>
          <w:b/>
          <w:bCs/>
          <w:rtl/>
        </w:rPr>
      </w:pPr>
      <w:r w:rsidRPr="008C0FB5">
        <w:rPr>
          <w:rFonts w:hint="cs"/>
          <w:b/>
          <w:bCs/>
          <w:rtl/>
        </w:rPr>
        <w:t>1- القرآن الكريم:</w:t>
      </w:r>
    </w:p>
    <w:p w14:paraId="78FD8BC6" w14:textId="77777777" w:rsidR="0094067A" w:rsidRPr="008C0FB5" w:rsidRDefault="0094067A" w:rsidP="00C35031">
      <w:pPr>
        <w:pStyle w:val="48"/>
        <w:rPr>
          <w:rFonts w:hint="cs"/>
          <w:rtl/>
        </w:rPr>
      </w:pPr>
      <w:r w:rsidRPr="008C0FB5">
        <w:rPr>
          <w:rFonts w:hint="cs"/>
          <w:rtl/>
        </w:rPr>
        <w:lastRenderedPageBreak/>
        <w:t xml:space="preserve">وردت في القرآن الكريم آيات كثيرة تشير إلى مشروعية العمل بقاعدة الذرائع ولا نذكر منها إلا هذه </w:t>
      </w:r>
      <w:proofErr w:type="gramStart"/>
      <w:r w:rsidRPr="008C0FB5">
        <w:rPr>
          <w:rFonts w:hint="cs"/>
          <w:rtl/>
        </w:rPr>
        <w:t>الآية</w:t>
      </w:r>
      <w:r w:rsidRPr="008C0FB5">
        <w:rPr>
          <w:rFonts w:cs="Saihat" w:hint="cs"/>
          <w:vertAlign w:val="superscript"/>
          <w:rtl/>
        </w:rPr>
        <w:t>(</w:t>
      </w:r>
      <w:proofErr w:type="gramEnd"/>
      <w:r w:rsidRPr="008C0FB5">
        <w:rPr>
          <w:rStyle w:val="af0"/>
          <w:rFonts w:cs="Saihat"/>
          <w:sz w:val="30"/>
          <w:rtl/>
        </w:rPr>
        <w:footnoteReference w:id="156"/>
      </w:r>
      <w:r w:rsidRPr="008C0FB5">
        <w:rPr>
          <w:rFonts w:cs="Saihat" w:hint="cs"/>
          <w:vertAlign w:val="superscript"/>
          <w:rtl/>
        </w:rPr>
        <w:t>)</w:t>
      </w:r>
      <w:r w:rsidRPr="008C0FB5">
        <w:rPr>
          <w:rFonts w:hint="cs"/>
          <w:rtl/>
        </w:rPr>
        <w:t>:</w:t>
      </w:r>
    </w:p>
    <w:p w14:paraId="31E8157B" w14:textId="77777777" w:rsidR="0094067A" w:rsidRPr="008C0FB5" w:rsidRDefault="0094067A" w:rsidP="00EE4C46">
      <w:pPr>
        <w:pStyle w:val="afff"/>
        <w:rPr>
          <w:rFonts w:hint="cs"/>
          <w:rtl/>
        </w:rPr>
      </w:pPr>
      <w:r w:rsidRPr="008C0FB5">
        <w:rPr>
          <w:rFonts w:hint="cs"/>
          <w:rtl/>
        </w:rPr>
        <w:t xml:space="preserve">﴿وَلَا يَضْرِبْنَ بِأَرْجُلِهِنَّ لِيُعْلَمَ مَا يُخْفِينَ مِن </w:t>
      </w:r>
      <w:proofErr w:type="gramStart"/>
      <w:r w:rsidRPr="008C0FB5">
        <w:rPr>
          <w:rFonts w:hint="cs"/>
          <w:rtl/>
        </w:rPr>
        <w:t>زِينَتِهِنَّ﴾</w:t>
      </w:r>
      <w:r w:rsidRPr="008C0FB5">
        <w:rPr>
          <w:rFonts w:hint="cs"/>
          <w:szCs w:val="30"/>
          <w:vertAlign w:val="superscript"/>
          <w:rtl/>
        </w:rPr>
        <w:t>(</w:t>
      </w:r>
      <w:proofErr w:type="gramEnd"/>
      <w:r w:rsidRPr="008C0FB5">
        <w:rPr>
          <w:rStyle w:val="af0"/>
          <w:sz w:val="30"/>
          <w:szCs w:val="30"/>
          <w:rtl/>
        </w:rPr>
        <w:footnoteReference w:id="157"/>
      </w:r>
      <w:r w:rsidRPr="008C0FB5">
        <w:rPr>
          <w:rFonts w:hint="cs"/>
          <w:szCs w:val="30"/>
          <w:vertAlign w:val="superscript"/>
          <w:rtl/>
        </w:rPr>
        <w:t>)</w:t>
      </w:r>
      <w:r w:rsidRPr="008C0FB5">
        <w:rPr>
          <w:rFonts w:hint="cs"/>
          <w:rtl/>
        </w:rPr>
        <w:t>.</w:t>
      </w:r>
    </w:p>
    <w:p w14:paraId="2F8CCE8D" w14:textId="77777777" w:rsidR="0094067A" w:rsidRPr="008C0FB5" w:rsidRDefault="0094067A" w:rsidP="00C35031">
      <w:pPr>
        <w:pStyle w:val="35"/>
        <w:rPr>
          <w:rFonts w:hint="cs"/>
          <w:rtl/>
        </w:rPr>
      </w:pPr>
      <w:r w:rsidRPr="008C0FB5">
        <w:rPr>
          <w:rFonts w:hint="cs"/>
          <w:rtl/>
        </w:rPr>
        <w:t>فقد نهى الله عزَّ وجلَّ النساء عن الضرب بالأرجل على الأرض في حالة المشي وإن كان الأمر مباحاً في نفسه ومن قبيل الحرية الشخصية، لئلا يكون وسيلة إلى لفت أنظار الرجال وإثارة الشهوة في قلوبهم بما يكون خطوة إلى الشر والفساد.</w:t>
      </w:r>
    </w:p>
    <w:p w14:paraId="47DCB9E9" w14:textId="77777777" w:rsidR="0094067A" w:rsidRPr="008C0FB5" w:rsidRDefault="0094067A" w:rsidP="00EE4C46">
      <w:pPr>
        <w:pStyle w:val="48"/>
        <w:rPr>
          <w:rFonts w:hint="cs"/>
          <w:b/>
          <w:bCs/>
          <w:rtl/>
        </w:rPr>
      </w:pPr>
      <w:r w:rsidRPr="008C0FB5">
        <w:rPr>
          <w:rFonts w:hint="cs"/>
          <w:b/>
          <w:bCs/>
          <w:rtl/>
        </w:rPr>
        <w:t>2- السنة النبوية:</w:t>
      </w:r>
    </w:p>
    <w:p w14:paraId="79D4EC71" w14:textId="77777777" w:rsidR="0094067A" w:rsidRPr="008C0FB5" w:rsidRDefault="0094067A" w:rsidP="00C35031">
      <w:pPr>
        <w:pStyle w:val="48"/>
        <w:rPr>
          <w:rFonts w:hint="cs"/>
          <w:rtl/>
        </w:rPr>
      </w:pPr>
      <w:r w:rsidRPr="008C0FB5">
        <w:rPr>
          <w:rFonts w:hint="cs"/>
          <w:rtl/>
        </w:rPr>
        <w:t>جاء على لسان عائشة (رض): ن أم حبيبة وأم سلمة رضي الله عنهما ذكرتا كنيسة رأياها في الحبشة فيها تصاوير، فذكرتا ذلك لرسول الله</w:t>
      </w:r>
      <w:r w:rsidR="003E1E9A" w:rsidRPr="008C0FB5">
        <w:rPr>
          <w:rFonts w:hint="cs"/>
        </w:rPr>
        <w:t></w:t>
      </w:r>
      <w:r w:rsidRPr="008C0FB5">
        <w:rPr>
          <w:rFonts w:hint="cs"/>
          <w:rtl/>
        </w:rPr>
        <w:t xml:space="preserve"> فقال: </w:t>
      </w:r>
    </w:p>
    <w:p w14:paraId="787FB238" w14:textId="77777777" w:rsidR="0094067A" w:rsidRPr="008C0FB5" w:rsidRDefault="0094067A" w:rsidP="00A613BA">
      <w:pPr>
        <w:pStyle w:val="afffffff1"/>
        <w:rPr>
          <w:rFonts w:hint="cs"/>
          <w:rtl/>
        </w:rPr>
      </w:pPr>
      <w:r w:rsidRPr="008C0FB5">
        <w:rPr>
          <w:rFonts w:hint="cs"/>
          <w:rtl/>
        </w:rPr>
        <w:t xml:space="preserve">إن أولئك إذا كان فيهم الرجل الصالح فمات بنوا على قبره مسجداً وصوروا فيه تلك الصور أولئك شرار الخلق عند </w:t>
      </w:r>
      <w:proofErr w:type="gramStart"/>
      <w:r w:rsidRPr="008C0FB5">
        <w:rPr>
          <w:rFonts w:hint="cs"/>
          <w:rtl/>
        </w:rPr>
        <w:t>الله</w:t>
      </w:r>
      <w:r w:rsidRPr="008C0FB5">
        <w:rPr>
          <w:rFonts w:hint="cs"/>
          <w:szCs w:val="30"/>
          <w:vertAlign w:val="superscript"/>
          <w:rtl/>
        </w:rPr>
        <w:t>(</w:t>
      </w:r>
      <w:proofErr w:type="gramEnd"/>
      <w:r w:rsidRPr="008C0FB5">
        <w:rPr>
          <w:rStyle w:val="af0"/>
          <w:sz w:val="30"/>
          <w:szCs w:val="30"/>
          <w:rtl/>
        </w:rPr>
        <w:footnoteReference w:id="158"/>
      </w:r>
      <w:r w:rsidRPr="008C0FB5">
        <w:rPr>
          <w:rFonts w:hint="cs"/>
          <w:szCs w:val="30"/>
          <w:vertAlign w:val="superscript"/>
          <w:rtl/>
        </w:rPr>
        <w:t>)</w:t>
      </w:r>
      <w:r w:rsidRPr="008C0FB5">
        <w:rPr>
          <w:rFonts w:hint="cs"/>
          <w:rtl/>
        </w:rPr>
        <w:t>.</w:t>
      </w:r>
    </w:p>
    <w:p w14:paraId="55E50242" w14:textId="77777777" w:rsidR="0094067A" w:rsidRPr="008C0FB5" w:rsidRDefault="0094067A" w:rsidP="00C35031">
      <w:pPr>
        <w:pStyle w:val="35"/>
        <w:rPr>
          <w:rFonts w:hint="cs"/>
          <w:rtl/>
        </w:rPr>
      </w:pPr>
      <w:r w:rsidRPr="008C0FB5">
        <w:rPr>
          <w:rFonts w:hint="cs"/>
          <w:rtl/>
        </w:rPr>
        <w:t xml:space="preserve">قال </w:t>
      </w:r>
      <w:proofErr w:type="gramStart"/>
      <w:r w:rsidRPr="008C0FB5">
        <w:rPr>
          <w:rFonts w:hint="cs"/>
          <w:rtl/>
        </w:rPr>
        <w:t>القرطبي</w:t>
      </w:r>
      <w:r w:rsidRPr="008C0FB5">
        <w:rPr>
          <w:rFonts w:cs="Saihat" w:hint="cs"/>
          <w:vertAlign w:val="superscript"/>
          <w:rtl/>
        </w:rPr>
        <w:t>(</w:t>
      </w:r>
      <w:proofErr w:type="gramEnd"/>
      <w:r w:rsidRPr="008C0FB5">
        <w:rPr>
          <w:rStyle w:val="af0"/>
          <w:rFonts w:cs="Saihat"/>
          <w:sz w:val="30"/>
          <w:rtl/>
        </w:rPr>
        <w:footnoteReference w:id="159"/>
      </w:r>
      <w:r w:rsidRPr="008C0FB5">
        <w:rPr>
          <w:rFonts w:cs="Saihat" w:hint="cs"/>
          <w:vertAlign w:val="superscript"/>
          <w:rtl/>
        </w:rPr>
        <w:t>)</w:t>
      </w:r>
      <w:r w:rsidRPr="008C0FB5">
        <w:rPr>
          <w:rFonts w:hint="cs"/>
          <w:rtl/>
        </w:rPr>
        <w:t>: فعل ذلك أوائلهم ليستأنسوا برؤية تلك الصور ويتذكروا أحوالهم الصالحة فيجتهدون كاجتهادهم ويعبدون الله عزَّ وجلَّ عند قبورهم فمضت لهم بذلك أزمان ثم انه خلق من بعدهم خلوف جهلوا أغراضهم ووسوس لهم الشيطان ان آبائكم وأجدادكم كانوا يعبدون هذه الصور فعبدوها، فحذر النبي</w:t>
      </w:r>
      <w:r w:rsidR="003E1E9A" w:rsidRPr="008C0FB5">
        <w:rPr>
          <w:rFonts w:hint="cs"/>
        </w:rPr>
        <w:t></w:t>
      </w:r>
      <w:r w:rsidRPr="008C0FB5">
        <w:rPr>
          <w:rFonts w:hint="cs"/>
          <w:rtl/>
        </w:rPr>
        <w:t xml:space="preserve"> من مثل ذلك وشدد التكبر والوعيد على من فعله، فسد الذرائع المؤدية إليه فقال:</w:t>
      </w:r>
    </w:p>
    <w:p w14:paraId="4D9477D1" w14:textId="77777777" w:rsidR="0094067A" w:rsidRPr="008C0FB5" w:rsidRDefault="0094067A" w:rsidP="00A613BA">
      <w:pPr>
        <w:pStyle w:val="afffffff1"/>
        <w:rPr>
          <w:rFonts w:hint="cs"/>
          <w:rtl/>
        </w:rPr>
      </w:pPr>
      <w:r w:rsidRPr="008C0FB5">
        <w:rPr>
          <w:rFonts w:hint="cs"/>
          <w:rtl/>
        </w:rPr>
        <w:t xml:space="preserve">اللهم لا تجعل قبري وثناً يعبد، اشتد غضب الله على قوم اتخذوا قبور أنبيائهم </w:t>
      </w:r>
      <w:proofErr w:type="gramStart"/>
      <w:r w:rsidRPr="008C0FB5">
        <w:rPr>
          <w:rFonts w:hint="cs"/>
          <w:rtl/>
        </w:rPr>
        <w:t>مساجد</w:t>
      </w:r>
      <w:r w:rsidRPr="008C0FB5">
        <w:rPr>
          <w:rFonts w:hint="cs"/>
          <w:szCs w:val="30"/>
          <w:vertAlign w:val="superscript"/>
          <w:rtl/>
        </w:rPr>
        <w:t>(</w:t>
      </w:r>
      <w:proofErr w:type="gramEnd"/>
      <w:r w:rsidRPr="008C0FB5">
        <w:rPr>
          <w:rStyle w:val="af0"/>
          <w:sz w:val="30"/>
          <w:szCs w:val="30"/>
          <w:rtl/>
        </w:rPr>
        <w:footnoteReference w:id="160"/>
      </w:r>
      <w:r w:rsidRPr="008C0FB5">
        <w:rPr>
          <w:rFonts w:hint="cs"/>
          <w:szCs w:val="30"/>
          <w:vertAlign w:val="superscript"/>
          <w:rtl/>
        </w:rPr>
        <w:t>)</w:t>
      </w:r>
      <w:r w:rsidRPr="008C0FB5">
        <w:rPr>
          <w:rFonts w:hint="cs"/>
          <w:rtl/>
        </w:rPr>
        <w:t>.</w:t>
      </w:r>
    </w:p>
    <w:p w14:paraId="53C55E99" w14:textId="77777777" w:rsidR="0094067A" w:rsidRPr="008C0FB5" w:rsidRDefault="0094067A" w:rsidP="00C253D0">
      <w:pPr>
        <w:pStyle w:val="af8"/>
        <w:rPr>
          <w:rFonts w:hint="cs"/>
          <w:rtl/>
          <w:lang w:bidi="ar-IQ"/>
        </w:rPr>
      </w:pPr>
      <w:bookmarkStart w:id="69" w:name="_Toc8643661"/>
      <w:r w:rsidRPr="008C0FB5">
        <w:rPr>
          <w:rFonts w:hint="cs"/>
          <w:rtl/>
          <w:lang w:bidi="ar-IQ"/>
        </w:rPr>
        <w:t>الفرع الثاني</w:t>
      </w:r>
      <w:r w:rsidRPr="008C0FB5">
        <w:rPr>
          <w:rFonts w:hint="cs"/>
          <w:rtl/>
          <w:lang w:bidi="fa-IR"/>
        </w:rPr>
        <w:t xml:space="preserve">: </w:t>
      </w:r>
      <w:r w:rsidRPr="008C0FB5">
        <w:rPr>
          <w:rFonts w:hint="cs"/>
          <w:rtl/>
          <w:lang w:bidi="ar-IQ"/>
        </w:rPr>
        <w:t>أقسـام الذرائع</w:t>
      </w:r>
      <w:bookmarkEnd w:id="69"/>
    </w:p>
    <w:p w14:paraId="55CAECF8" w14:textId="77777777" w:rsidR="0094067A" w:rsidRPr="008C0FB5" w:rsidRDefault="0094067A" w:rsidP="00C35031">
      <w:pPr>
        <w:pStyle w:val="48"/>
        <w:rPr>
          <w:rFonts w:hint="cs"/>
          <w:rtl/>
        </w:rPr>
      </w:pPr>
      <w:r w:rsidRPr="008C0FB5">
        <w:rPr>
          <w:rFonts w:hint="cs"/>
          <w:rtl/>
        </w:rPr>
        <w:t xml:space="preserve">تختلف أهمية الذرائع باختلاف أهمية وخطورة </w:t>
      </w:r>
      <w:proofErr w:type="gramStart"/>
      <w:r w:rsidRPr="008C0FB5">
        <w:rPr>
          <w:rFonts w:hint="cs"/>
          <w:rtl/>
        </w:rPr>
        <w:t>غاياتها</w:t>
      </w:r>
      <w:r w:rsidRPr="008C0FB5">
        <w:rPr>
          <w:rFonts w:cs="Saihat" w:hint="cs"/>
          <w:vertAlign w:val="superscript"/>
          <w:rtl/>
        </w:rPr>
        <w:t>(</w:t>
      </w:r>
      <w:proofErr w:type="gramEnd"/>
      <w:r w:rsidRPr="008C0FB5">
        <w:rPr>
          <w:rStyle w:val="af0"/>
          <w:rFonts w:cs="Saihat"/>
          <w:sz w:val="30"/>
          <w:rtl/>
        </w:rPr>
        <w:footnoteReference w:id="161"/>
      </w:r>
      <w:r w:rsidRPr="008C0FB5">
        <w:rPr>
          <w:rFonts w:cs="Saihat" w:hint="cs"/>
          <w:vertAlign w:val="superscript"/>
          <w:rtl/>
        </w:rPr>
        <w:t>)</w:t>
      </w:r>
      <w:r w:rsidRPr="008C0FB5">
        <w:rPr>
          <w:rFonts w:hint="cs"/>
          <w:rtl/>
        </w:rPr>
        <w:t>، فكم من فعل مشروع لذاته يحكم عليه بعدم المشروعية بالنظر إلى ما يؤول إليه من مضرة ومفسدة وكم من فعل غير مشروع لذاته يعتبر مشروعاً لما يحققه من مصلحة مشروعة.</w:t>
      </w:r>
    </w:p>
    <w:p w14:paraId="64F1DAAE" w14:textId="77777777" w:rsidR="0094067A" w:rsidRPr="008C0FB5" w:rsidRDefault="0094067A" w:rsidP="00C35031">
      <w:pPr>
        <w:pStyle w:val="35"/>
        <w:rPr>
          <w:rFonts w:hint="cs"/>
          <w:rtl/>
        </w:rPr>
      </w:pPr>
      <w:r w:rsidRPr="008C0FB5">
        <w:rPr>
          <w:rFonts w:hint="cs"/>
          <w:rtl/>
        </w:rPr>
        <w:t>ولذلك فان الذرائع من حيث المشروعية وعدمها تنقسم إلى أربعة أقسام:</w:t>
      </w:r>
    </w:p>
    <w:p w14:paraId="2D5F3754" w14:textId="77777777" w:rsidR="0094067A" w:rsidRPr="008C0FB5" w:rsidRDefault="0094067A" w:rsidP="007A1F34">
      <w:pPr>
        <w:pStyle w:val="48"/>
        <w:numPr>
          <w:ilvl w:val="0"/>
          <w:numId w:val="22"/>
        </w:numPr>
        <w:rPr>
          <w:rFonts w:hint="cs"/>
          <w:rtl/>
        </w:rPr>
      </w:pPr>
      <w:r w:rsidRPr="008C0FB5">
        <w:rPr>
          <w:rFonts w:hint="cs"/>
          <w:rtl/>
        </w:rPr>
        <w:t>كل من الوسيلة والغاية مشروعة.</w:t>
      </w:r>
    </w:p>
    <w:p w14:paraId="38DA5D7E" w14:textId="77777777" w:rsidR="0094067A" w:rsidRPr="008C0FB5" w:rsidRDefault="0094067A" w:rsidP="007A1F34">
      <w:pPr>
        <w:pStyle w:val="48"/>
        <w:numPr>
          <w:ilvl w:val="0"/>
          <w:numId w:val="22"/>
        </w:numPr>
        <w:rPr>
          <w:rFonts w:hint="cs"/>
          <w:rtl/>
        </w:rPr>
      </w:pPr>
      <w:r w:rsidRPr="008C0FB5">
        <w:rPr>
          <w:rFonts w:hint="cs"/>
          <w:rtl/>
        </w:rPr>
        <w:t>كل من الوسيلة والغاية غير مشروعة.</w:t>
      </w:r>
    </w:p>
    <w:p w14:paraId="2C418BA8" w14:textId="77777777" w:rsidR="0094067A" w:rsidRPr="008C0FB5" w:rsidRDefault="0094067A" w:rsidP="007A1F34">
      <w:pPr>
        <w:pStyle w:val="48"/>
        <w:numPr>
          <w:ilvl w:val="0"/>
          <w:numId w:val="22"/>
        </w:numPr>
        <w:rPr>
          <w:rFonts w:hint="cs"/>
          <w:rtl/>
        </w:rPr>
      </w:pPr>
      <w:r w:rsidRPr="008C0FB5">
        <w:rPr>
          <w:rFonts w:hint="cs"/>
          <w:rtl/>
        </w:rPr>
        <w:t>الوسيلة غير مشروعة والغاية مشروعة.</w:t>
      </w:r>
    </w:p>
    <w:p w14:paraId="6997808C" w14:textId="77777777" w:rsidR="0094067A" w:rsidRPr="008C0FB5" w:rsidRDefault="0094067A" w:rsidP="007A1F34">
      <w:pPr>
        <w:pStyle w:val="48"/>
        <w:numPr>
          <w:ilvl w:val="0"/>
          <w:numId w:val="22"/>
        </w:numPr>
        <w:rPr>
          <w:rFonts w:hint="cs"/>
          <w:rtl/>
        </w:rPr>
      </w:pPr>
      <w:r w:rsidRPr="008C0FB5">
        <w:rPr>
          <w:rFonts w:hint="cs"/>
          <w:rtl/>
        </w:rPr>
        <w:t>الوسيلة مشروعة والغاية غير مشروعة.</w:t>
      </w:r>
    </w:p>
    <w:p w14:paraId="742B76DD" w14:textId="77777777" w:rsidR="0094067A" w:rsidRPr="008C0FB5" w:rsidRDefault="0094067A" w:rsidP="00202833">
      <w:pPr>
        <w:pStyle w:val="affffffd"/>
        <w:rPr>
          <w:rFonts w:hint="cs"/>
          <w:rtl/>
        </w:rPr>
      </w:pPr>
      <w:r w:rsidRPr="008C0FB5">
        <w:rPr>
          <w:rFonts w:hint="cs"/>
          <w:rtl/>
        </w:rPr>
        <w:t>القسم الأول: وسائل مشروعة تحقق غايات مشروعة:</w:t>
      </w:r>
    </w:p>
    <w:p w14:paraId="427BEDBA" w14:textId="77777777" w:rsidR="0094067A" w:rsidRPr="008C0FB5" w:rsidRDefault="0094067A" w:rsidP="00C35031">
      <w:pPr>
        <w:pStyle w:val="48"/>
        <w:rPr>
          <w:rFonts w:hint="cs"/>
          <w:rtl/>
        </w:rPr>
      </w:pPr>
      <w:r w:rsidRPr="008C0FB5">
        <w:rPr>
          <w:rFonts w:hint="cs"/>
          <w:rtl/>
        </w:rPr>
        <w:lastRenderedPageBreak/>
        <w:t xml:space="preserve">لا خلاف بين فقهاء الشريعة الإسلامية في فتح هذه الذرائع لما تؤدي إليه من تحقيق منافع ومصالح عامة كإنشاء المكتبات العامة، والاهتمام بالتعليم، والاهتمام بالصحة العامة...الخ، مما يؤدي إلى تحقيق مصالح عليا في ضوء مستلزمات </w:t>
      </w:r>
      <w:proofErr w:type="gramStart"/>
      <w:r w:rsidRPr="008C0FB5">
        <w:rPr>
          <w:rFonts w:hint="cs"/>
          <w:rtl/>
        </w:rPr>
        <w:t>الحياة</w:t>
      </w:r>
      <w:r w:rsidRPr="008C0FB5">
        <w:rPr>
          <w:rFonts w:cs="Saihat" w:hint="cs"/>
          <w:vertAlign w:val="superscript"/>
          <w:rtl/>
        </w:rPr>
        <w:t>(</w:t>
      </w:r>
      <w:proofErr w:type="gramEnd"/>
      <w:r w:rsidRPr="008C0FB5">
        <w:rPr>
          <w:rStyle w:val="af0"/>
          <w:rFonts w:cs="Saihat"/>
          <w:sz w:val="30"/>
          <w:rtl/>
        </w:rPr>
        <w:footnoteReference w:id="162"/>
      </w:r>
      <w:r w:rsidRPr="008C0FB5">
        <w:rPr>
          <w:rFonts w:cs="Saihat" w:hint="cs"/>
          <w:vertAlign w:val="superscript"/>
          <w:rtl/>
        </w:rPr>
        <w:t>)</w:t>
      </w:r>
      <w:r w:rsidRPr="008C0FB5">
        <w:rPr>
          <w:rFonts w:hint="cs"/>
          <w:rtl/>
        </w:rPr>
        <w:t>.</w:t>
      </w:r>
    </w:p>
    <w:p w14:paraId="275BD2B6" w14:textId="77777777" w:rsidR="0094067A" w:rsidRPr="008C0FB5" w:rsidRDefault="0094067A" w:rsidP="00202833">
      <w:pPr>
        <w:pStyle w:val="affffffd"/>
        <w:rPr>
          <w:rFonts w:hint="cs"/>
          <w:rtl/>
        </w:rPr>
      </w:pPr>
      <w:r w:rsidRPr="008C0FB5">
        <w:rPr>
          <w:rFonts w:hint="cs"/>
          <w:rtl/>
        </w:rPr>
        <w:t>القسم الثاني: كل من الوسيلة والغاية غير مشروعة:</w:t>
      </w:r>
    </w:p>
    <w:p w14:paraId="08AF574E" w14:textId="77777777" w:rsidR="0094067A" w:rsidRPr="008C0FB5" w:rsidRDefault="0094067A" w:rsidP="00C35031">
      <w:pPr>
        <w:pStyle w:val="48"/>
        <w:rPr>
          <w:rFonts w:hint="cs"/>
          <w:rtl/>
        </w:rPr>
      </w:pPr>
      <w:r w:rsidRPr="008C0FB5">
        <w:rPr>
          <w:rFonts w:hint="cs"/>
          <w:rtl/>
        </w:rPr>
        <w:t xml:space="preserve">لا خلاف بين فقهاء الشريعة الإسلامية في وجوب سد أبواب كل وسيلة غير مشروعة في ذاتها تؤدي إلى نتيجة غير مشروعة بمنع ما لم يقم منها ورفع ما هو قائم ومكافحتها بكافة الطرق الوقائية والعلاجية، وتقع مسؤولية مكافحة هذه الذرائع بذاتها ونتائجها على الدولة بالدرجة الأولى من خلال سياستها التشريعية وأجهزتها الإدارية، وعلى الأفراد بالدرجة الثانية، فهي تدخل في باب الحسبة والأمر بالمعروف والنهي عن </w:t>
      </w:r>
      <w:proofErr w:type="gramStart"/>
      <w:r w:rsidRPr="008C0FB5">
        <w:rPr>
          <w:rFonts w:hint="cs"/>
          <w:rtl/>
        </w:rPr>
        <w:t>المنكر</w:t>
      </w:r>
      <w:r w:rsidRPr="008C0FB5">
        <w:rPr>
          <w:rFonts w:cs="Saihat" w:hint="cs"/>
          <w:vertAlign w:val="superscript"/>
          <w:rtl/>
        </w:rPr>
        <w:t>(</w:t>
      </w:r>
      <w:proofErr w:type="gramEnd"/>
      <w:r w:rsidRPr="008C0FB5">
        <w:rPr>
          <w:rStyle w:val="af0"/>
          <w:rFonts w:cs="Saihat"/>
          <w:sz w:val="30"/>
          <w:rtl/>
        </w:rPr>
        <w:footnoteReference w:id="163"/>
      </w:r>
      <w:r w:rsidRPr="008C0FB5">
        <w:rPr>
          <w:rFonts w:cs="Saihat" w:hint="cs"/>
          <w:vertAlign w:val="superscript"/>
          <w:rtl/>
        </w:rPr>
        <w:t>)</w:t>
      </w:r>
      <w:r w:rsidRPr="008C0FB5">
        <w:rPr>
          <w:rFonts w:hint="cs"/>
          <w:rtl/>
        </w:rPr>
        <w:t>.</w:t>
      </w:r>
    </w:p>
    <w:p w14:paraId="49B4EDE1" w14:textId="77777777" w:rsidR="0094067A" w:rsidRPr="008C0FB5" w:rsidRDefault="0094067A" w:rsidP="00C35031">
      <w:pPr>
        <w:pStyle w:val="35"/>
        <w:rPr>
          <w:rFonts w:hint="cs"/>
          <w:rtl/>
        </w:rPr>
      </w:pPr>
      <w:r w:rsidRPr="008C0FB5">
        <w:rPr>
          <w:rFonts w:hint="cs"/>
          <w:rtl/>
        </w:rPr>
        <w:t>ومن تطبيقات الذرائع غير المشروعة التي يتوصل بها إلى غايات غير مشروعة صناعة الأسلحة الفتاكة لاستخدامها في الحروب وكذلك صناعة المشروبات والمحصولات المخدرة والاتجار بها...الخ، لما فيها من المفاسد والمضار الخطيرة بالنسبة للفرد والمجتمع.</w:t>
      </w:r>
    </w:p>
    <w:p w14:paraId="3D16A076" w14:textId="77777777" w:rsidR="0094067A" w:rsidRPr="008C0FB5" w:rsidRDefault="0094067A" w:rsidP="00202833">
      <w:pPr>
        <w:pStyle w:val="affffffd"/>
        <w:rPr>
          <w:rFonts w:hint="cs"/>
          <w:rtl/>
        </w:rPr>
      </w:pPr>
      <w:r w:rsidRPr="008C0FB5">
        <w:rPr>
          <w:rFonts w:hint="cs"/>
          <w:rtl/>
        </w:rPr>
        <w:t>القسم الثالث: الذرائع غير مشروعة في ذاتها والمشروعة في غاياتها:</w:t>
      </w:r>
    </w:p>
    <w:p w14:paraId="2816B2E6" w14:textId="77777777" w:rsidR="0094067A" w:rsidRPr="008C0FB5" w:rsidRDefault="0094067A" w:rsidP="00C35031">
      <w:pPr>
        <w:pStyle w:val="48"/>
        <w:rPr>
          <w:rFonts w:hint="cs"/>
          <w:rtl/>
        </w:rPr>
      </w:pPr>
      <w:r w:rsidRPr="008C0FB5">
        <w:rPr>
          <w:rFonts w:hint="cs"/>
          <w:rtl/>
        </w:rPr>
        <w:t xml:space="preserve">لا خلاف بين فقهاء الشريعة في ان بعض الوسائل غير المشروعة لذاتها قد تتحول إلى المشروعة لغيرها أي للنتائج المشروعة والمصالح العامة التي يمكن أن تحققها هذه الذرائع في حالات غير اعتيادية، فهذا القسم يدخل في باب اجتماع المصلحة مع المفسدة في حالة كون المصلحة راجحة على المفسدة. كالعقوبة قبيحة في ذاتها لأنها مضرة بالنسبة للشخص المعاقب وذويه وزوجه، إلا انها تحقق مصالح مشروعة، ذلك انها وسيلة إلى حماية المصلحة العامة والمصلحة العامة فيها راجحة على مفسدة العقوبة ومضرتها. وكذلك أكل الميتة والكذب فهما غير مشروعان في </w:t>
      </w:r>
      <w:proofErr w:type="gramStart"/>
      <w:r w:rsidRPr="008C0FB5">
        <w:rPr>
          <w:rFonts w:hint="cs"/>
          <w:rtl/>
        </w:rPr>
        <w:t>ذاتهما</w:t>
      </w:r>
      <w:proofErr w:type="gramEnd"/>
      <w:r w:rsidRPr="008C0FB5">
        <w:rPr>
          <w:rFonts w:hint="cs"/>
          <w:rtl/>
        </w:rPr>
        <w:t xml:space="preserve"> ولكنهما إذا كانا وسيلة إلى تحقيق أغراض مشروعة يكونان مشروعين...الخ.</w:t>
      </w:r>
    </w:p>
    <w:p w14:paraId="09D9E7D7" w14:textId="77777777" w:rsidR="0094067A" w:rsidRPr="008C0FB5" w:rsidRDefault="0094067A" w:rsidP="00202833">
      <w:pPr>
        <w:pStyle w:val="affffffd"/>
        <w:rPr>
          <w:rFonts w:hint="cs"/>
          <w:rtl/>
        </w:rPr>
      </w:pPr>
      <w:r w:rsidRPr="008C0FB5">
        <w:rPr>
          <w:rFonts w:hint="cs"/>
          <w:rtl/>
        </w:rPr>
        <w:t>القسم الرابع: الذرائع المشروعة في ذاتها وغير المشروعة بغاياتها:</w:t>
      </w:r>
    </w:p>
    <w:p w14:paraId="079FE51F" w14:textId="77777777" w:rsidR="0094067A" w:rsidRPr="008C0FB5" w:rsidRDefault="0094067A" w:rsidP="00C35031">
      <w:pPr>
        <w:pStyle w:val="48"/>
        <w:rPr>
          <w:rFonts w:hint="cs"/>
          <w:rtl/>
        </w:rPr>
      </w:pPr>
      <w:r w:rsidRPr="008C0FB5">
        <w:rPr>
          <w:rFonts w:hint="cs"/>
          <w:rtl/>
        </w:rPr>
        <w:t xml:space="preserve">قد تكون الوسيلة مشروعة في ذاتها ولكنها تستخدم لتحقيق غاية غير مشروعة، كمت يهب مالاً لامرأة بصد بناء علاقة غير مشروعة معها، فالهبة باطلة إذا علم الموهوب له بالقصد غير المشروع، وكذلك كمن يبرم عقوداً بقصد الإضرار بشخص ثالث أو الإضرار بالمصلحة </w:t>
      </w:r>
      <w:proofErr w:type="gramStart"/>
      <w:r w:rsidRPr="008C0FB5">
        <w:rPr>
          <w:rFonts w:hint="cs"/>
          <w:rtl/>
        </w:rPr>
        <w:t>العامة</w:t>
      </w:r>
      <w:r w:rsidRPr="008C0FB5">
        <w:rPr>
          <w:rFonts w:cs="Saihat" w:hint="cs"/>
          <w:vertAlign w:val="superscript"/>
          <w:rtl/>
        </w:rPr>
        <w:t>(</w:t>
      </w:r>
      <w:proofErr w:type="gramEnd"/>
      <w:r w:rsidRPr="008C0FB5">
        <w:rPr>
          <w:rStyle w:val="af0"/>
          <w:rFonts w:cs="Saihat"/>
          <w:sz w:val="30"/>
          <w:rtl/>
        </w:rPr>
        <w:footnoteReference w:id="164"/>
      </w:r>
      <w:r w:rsidRPr="008C0FB5">
        <w:rPr>
          <w:rFonts w:cs="Saihat" w:hint="cs"/>
          <w:vertAlign w:val="superscript"/>
          <w:rtl/>
        </w:rPr>
        <w:t>)</w:t>
      </w:r>
      <w:r w:rsidRPr="008C0FB5">
        <w:rPr>
          <w:rFonts w:hint="cs"/>
          <w:rtl/>
        </w:rPr>
        <w:t>.</w:t>
      </w:r>
    </w:p>
    <w:p w14:paraId="1C258AB7" w14:textId="77777777" w:rsidR="0094067A" w:rsidRPr="008C0FB5" w:rsidRDefault="0094067A" w:rsidP="00C35031">
      <w:pPr>
        <w:pStyle w:val="35"/>
        <w:rPr>
          <w:rFonts w:hint="cs"/>
          <w:rtl/>
        </w:rPr>
      </w:pPr>
      <w:r w:rsidRPr="008C0FB5">
        <w:rPr>
          <w:rFonts w:hint="cs"/>
          <w:rtl/>
        </w:rPr>
        <w:t xml:space="preserve">وقد قسّم علماء </w:t>
      </w:r>
      <w:proofErr w:type="gramStart"/>
      <w:r w:rsidRPr="008C0FB5">
        <w:rPr>
          <w:rFonts w:hint="cs"/>
          <w:rtl/>
        </w:rPr>
        <w:t>الأصول</w:t>
      </w:r>
      <w:r w:rsidRPr="008C0FB5">
        <w:rPr>
          <w:rFonts w:cs="Saihat" w:hint="cs"/>
          <w:vertAlign w:val="superscript"/>
          <w:rtl/>
        </w:rPr>
        <w:t>(</w:t>
      </w:r>
      <w:proofErr w:type="gramEnd"/>
      <w:r w:rsidRPr="008C0FB5">
        <w:rPr>
          <w:rStyle w:val="af0"/>
          <w:rFonts w:cs="Saihat"/>
          <w:sz w:val="30"/>
          <w:rtl/>
        </w:rPr>
        <w:footnoteReference w:id="165"/>
      </w:r>
      <w:r w:rsidRPr="008C0FB5">
        <w:rPr>
          <w:rFonts w:cs="Saihat" w:hint="cs"/>
          <w:vertAlign w:val="superscript"/>
          <w:rtl/>
        </w:rPr>
        <w:t>)</w:t>
      </w:r>
      <w:r w:rsidRPr="008C0FB5">
        <w:rPr>
          <w:rFonts w:hint="cs"/>
          <w:rtl/>
        </w:rPr>
        <w:t xml:space="preserve"> هذا القسم الرابع من الذرائع باعتبار مدى ترتب النتائج والغايات عليها إلى الأنواع الثلاثة:</w:t>
      </w:r>
    </w:p>
    <w:p w14:paraId="674747A6" w14:textId="77777777" w:rsidR="0094067A" w:rsidRPr="008C0FB5" w:rsidRDefault="0094067A" w:rsidP="007A1F34">
      <w:pPr>
        <w:pStyle w:val="48"/>
        <w:numPr>
          <w:ilvl w:val="0"/>
          <w:numId w:val="23"/>
        </w:numPr>
        <w:rPr>
          <w:rFonts w:hint="cs"/>
          <w:rtl/>
        </w:rPr>
      </w:pPr>
      <w:r w:rsidRPr="008C0FB5">
        <w:rPr>
          <w:rFonts w:hint="cs"/>
          <w:rtl/>
        </w:rPr>
        <w:t xml:space="preserve">النوع الأول: هو أن تفضي الوسائل إلى المفسدة على وجه القطع أو الظن الغالب، وهذا </w:t>
      </w:r>
      <w:r w:rsidRPr="008C0FB5">
        <w:rPr>
          <w:rFonts w:hint="cs"/>
          <w:rtl/>
        </w:rPr>
        <w:lastRenderedPageBreak/>
        <w:t xml:space="preserve">النوع من الذرائع لا خلاف بين جمهور الفقهاء في وجوب سدها </w:t>
      </w:r>
      <w:proofErr w:type="gramStart"/>
      <w:r w:rsidRPr="008C0FB5">
        <w:rPr>
          <w:rFonts w:hint="cs"/>
          <w:rtl/>
        </w:rPr>
        <w:t>ومنعها</w:t>
      </w:r>
      <w:r w:rsidRPr="008C0FB5">
        <w:rPr>
          <w:rFonts w:cs="Saihat" w:hint="cs"/>
          <w:rtl/>
        </w:rPr>
        <w:t>(</w:t>
      </w:r>
      <w:proofErr w:type="gramEnd"/>
      <w:r w:rsidRPr="008C0FB5">
        <w:rPr>
          <w:rStyle w:val="af0"/>
          <w:rFonts w:cs="Saihat"/>
          <w:vertAlign w:val="baseline"/>
          <w:rtl/>
        </w:rPr>
        <w:footnoteReference w:id="166"/>
      </w:r>
      <w:r w:rsidRPr="008C0FB5">
        <w:rPr>
          <w:rFonts w:cs="Saihat" w:hint="cs"/>
          <w:rtl/>
        </w:rPr>
        <w:t>)</w:t>
      </w:r>
      <w:r w:rsidRPr="008C0FB5">
        <w:rPr>
          <w:rFonts w:hint="cs"/>
          <w:rtl/>
        </w:rPr>
        <w:t>.</w:t>
      </w:r>
    </w:p>
    <w:p w14:paraId="34949BD9" w14:textId="77777777" w:rsidR="0094067A" w:rsidRPr="008C0FB5" w:rsidRDefault="0094067A" w:rsidP="007A1F34">
      <w:pPr>
        <w:pStyle w:val="48"/>
        <w:numPr>
          <w:ilvl w:val="0"/>
          <w:numId w:val="23"/>
        </w:numPr>
        <w:rPr>
          <w:rFonts w:hint="cs"/>
          <w:rtl/>
        </w:rPr>
      </w:pPr>
      <w:r w:rsidRPr="008C0FB5">
        <w:rPr>
          <w:rFonts w:hint="cs"/>
          <w:rtl/>
        </w:rPr>
        <w:t xml:space="preserve">النوع الثاني: هو أن تكون الوسيلة طريقاً إلى تحقيق المصلحة أكثر من كونها ذريعة إلى المفسدة أو المضرة وقد أجمع الفقهاء على عدم </w:t>
      </w:r>
      <w:proofErr w:type="gramStart"/>
      <w:r w:rsidRPr="008C0FB5">
        <w:rPr>
          <w:rFonts w:hint="cs"/>
          <w:rtl/>
        </w:rPr>
        <w:t>سدها</w:t>
      </w:r>
      <w:r w:rsidRPr="008C0FB5">
        <w:rPr>
          <w:rFonts w:cs="Saihat" w:hint="cs"/>
          <w:rtl/>
        </w:rPr>
        <w:t>(</w:t>
      </w:r>
      <w:proofErr w:type="gramEnd"/>
      <w:r w:rsidRPr="008C0FB5">
        <w:rPr>
          <w:rStyle w:val="af0"/>
          <w:rFonts w:cs="Saihat"/>
          <w:vertAlign w:val="baseline"/>
          <w:rtl/>
        </w:rPr>
        <w:footnoteReference w:id="167"/>
      </w:r>
      <w:r w:rsidRPr="008C0FB5">
        <w:rPr>
          <w:rFonts w:cs="Saihat" w:hint="cs"/>
          <w:rtl/>
        </w:rPr>
        <w:t>)</w:t>
      </w:r>
      <w:r w:rsidRPr="008C0FB5">
        <w:rPr>
          <w:rFonts w:hint="cs"/>
          <w:rtl/>
        </w:rPr>
        <w:t>.</w:t>
      </w:r>
    </w:p>
    <w:p w14:paraId="442BA6ED" w14:textId="77777777" w:rsidR="0094067A" w:rsidRPr="008C0FB5" w:rsidRDefault="0094067A" w:rsidP="007A1F34">
      <w:pPr>
        <w:pStyle w:val="48"/>
        <w:numPr>
          <w:ilvl w:val="0"/>
          <w:numId w:val="23"/>
        </w:numPr>
        <w:rPr>
          <w:rFonts w:hint="cs"/>
          <w:rtl/>
        </w:rPr>
      </w:pPr>
      <w:r w:rsidRPr="008C0FB5">
        <w:rPr>
          <w:rFonts w:hint="cs"/>
          <w:rtl/>
        </w:rPr>
        <w:t>النوع الثالث: اختلف الفقهاء في سده وفتحه، كالذرائع التي تتردد بين المصلحة والمفسدة فمن رأى ان المصلحة فيها هي الراجحة على المفسدة قال بفتحها، ومن قال برجحان مفسدتها قال بسدها.</w:t>
      </w:r>
    </w:p>
    <w:p w14:paraId="59AFBCCB" w14:textId="77777777" w:rsidR="0094067A" w:rsidRPr="008C0FB5" w:rsidRDefault="0094067A" w:rsidP="00C35031">
      <w:pPr>
        <w:pStyle w:val="35"/>
        <w:rPr>
          <w:rFonts w:hint="cs"/>
          <w:rtl/>
        </w:rPr>
      </w:pPr>
      <w:r w:rsidRPr="008C0FB5">
        <w:rPr>
          <w:rFonts w:hint="cs"/>
          <w:rtl/>
        </w:rPr>
        <w:t>ولم يقف الأمر عند هذا الحد فقد سلك بعض الفقهاء مسالك خاصة في تقسيم الذرائع إلى أنوع معينة، باعتبارات متعددة نحاول بعد استعراضها ومناقشتها.</w:t>
      </w:r>
    </w:p>
    <w:p w14:paraId="45EAAAC3" w14:textId="77777777" w:rsidR="0094067A" w:rsidRPr="008C0FB5" w:rsidRDefault="0094067A" w:rsidP="00C35031">
      <w:pPr>
        <w:pStyle w:val="35"/>
        <w:rPr>
          <w:rFonts w:hint="cs"/>
          <w:rtl/>
        </w:rPr>
      </w:pPr>
      <w:r w:rsidRPr="008C0FB5">
        <w:rPr>
          <w:rFonts w:hint="cs"/>
          <w:rtl/>
        </w:rPr>
        <w:t xml:space="preserve">ولما كان فقهاء المالكية والحنابلة هم أكثر الفقهاء عناية بسد الذرائع، فقد احتوت كتاباتهم عنها تقسيمات عديدة لذا نتوقف عند بعض هذه التقسيمات ونذكر منها تقسيمين أحدهما للفقه الحنبلي وعرضه ابن القيم الجوزية والثاني للفقه المالكي وعرضه الإمام </w:t>
      </w:r>
      <w:proofErr w:type="gramStart"/>
      <w:r w:rsidRPr="008C0FB5">
        <w:rPr>
          <w:rFonts w:hint="cs"/>
          <w:rtl/>
        </w:rPr>
        <w:t>الشاطبي</w:t>
      </w:r>
      <w:r w:rsidRPr="008C0FB5">
        <w:rPr>
          <w:rFonts w:cs="Saihat" w:hint="cs"/>
          <w:vertAlign w:val="superscript"/>
          <w:rtl/>
        </w:rPr>
        <w:t>(</w:t>
      </w:r>
      <w:proofErr w:type="gramEnd"/>
      <w:r w:rsidRPr="008C0FB5">
        <w:rPr>
          <w:rStyle w:val="af0"/>
          <w:rFonts w:cs="Saihat"/>
          <w:sz w:val="30"/>
          <w:rtl/>
        </w:rPr>
        <w:footnoteReference w:id="168"/>
      </w:r>
      <w:r w:rsidRPr="008C0FB5">
        <w:rPr>
          <w:rFonts w:cs="Saihat" w:hint="cs"/>
          <w:vertAlign w:val="superscript"/>
          <w:rtl/>
        </w:rPr>
        <w:t>)</w:t>
      </w:r>
      <w:r w:rsidRPr="008C0FB5">
        <w:rPr>
          <w:rFonts w:hint="cs"/>
          <w:rtl/>
        </w:rPr>
        <w:t>.</w:t>
      </w:r>
    </w:p>
    <w:p w14:paraId="56A5CDB6" w14:textId="77777777" w:rsidR="0094067A" w:rsidRPr="008C0FB5" w:rsidRDefault="0094067A" w:rsidP="00EE4C46">
      <w:pPr>
        <w:pStyle w:val="48"/>
        <w:rPr>
          <w:rFonts w:hint="cs"/>
          <w:rtl/>
        </w:rPr>
      </w:pPr>
      <w:r w:rsidRPr="008C0FB5">
        <w:rPr>
          <w:rFonts w:hint="cs"/>
          <w:b/>
          <w:bCs/>
          <w:rtl/>
        </w:rPr>
        <w:t xml:space="preserve">تقسيم ابن </w:t>
      </w:r>
      <w:proofErr w:type="gramStart"/>
      <w:r w:rsidRPr="008C0FB5">
        <w:rPr>
          <w:rFonts w:hint="cs"/>
          <w:b/>
          <w:bCs/>
          <w:rtl/>
        </w:rPr>
        <w:t>القيم</w:t>
      </w:r>
      <w:r w:rsidRPr="008C0FB5">
        <w:rPr>
          <w:rFonts w:cs="Saihat" w:hint="cs"/>
          <w:vertAlign w:val="superscript"/>
          <w:rtl/>
        </w:rPr>
        <w:t>(</w:t>
      </w:r>
      <w:proofErr w:type="gramEnd"/>
      <w:r w:rsidRPr="008C0FB5">
        <w:rPr>
          <w:rStyle w:val="af0"/>
          <w:rFonts w:cs="Saihat"/>
          <w:sz w:val="30"/>
          <w:rtl/>
        </w:rPr>
        <w:footnoteReference w:id="169"/>
      </w:r>
      <w:r w:rsidRPr="008C0FB5">
        <w:rPr>
          <w:rFonts w:cs="Saihat" w:hint="cs"/>
          <w:vertAlign w:val="superscript"/>
          <w:rtl/>
        </w:rPr>
        <w:t>)</w:t>
      </w:r>
      <w:r w:rsidRPr="008C0FB5">
        <w:rPr>
          <w:rFonts w:hint="cs"/>
          <w:rtl/>
        </w:rPr>
        <w:t>:</w:t>
      </w:r>
    </w:p>
    <w:p w14:paraId="31D194E9" w14:textId="77777777" w:rsidR="0094067A" w:rsidRPr="008C0FB5" w:rsidRDefault="0094067A" w:rsidP="00C35031">
      <w:pPr>
        <w:pStyle w:val="48"/>
        <w:rPr>
          <w:rFonts w:hint="cs"/>
          <w:rtl/>
        </w:rPr>
      </w:pPr>
      <w:r w:rsidRPr="008C0FB5">
        <w:rPr>
          <w:rFonts w:hint="cs"/>
          <w:rtl/>
        </w:rPr>
        <w:t>فقد قسم ابن القيم الوسائل بالنسبة إلى نتائجها أربعة أقسام هي:</w:t>
      </w:r>
    </w:p>
    <w:p w14:paraId="504A87A9" w14:textId="77777777" w:rsidR="0094067A" w:rsidRPr="008C0FB5" w:rsidRDefault="0094067A" w:rsidP="007A1F34">
      <w:pPr>
        <w:pStyle w:val="48"/>
        <w:numPr>
          <w:ilvl w:val="0"/>
          <w:numId w:val="24"/>
        </w:numPr>
        <w:rPr>
          <w:rFonts w:hint="cs"/>
          <w:rtl/>
        </w:rPr>
      </w:pPr>
      <w:r w:rsidRPr="008C0FB5">
        <w:rPr>
          <w:rFonts w:hint="cs"/>
          <w:b/>
          <w:bCs/>
          <w:rtl/>
        </w:rPr>
        <w:t>القسم الأول:</w:t>
      </w:r>
      <w:r w:rsidRPr="008C0FB5">
        <w:rPr>
          <w:rFonts w:hint="cs"/>
          <w:rtl/>
        </w:rPr>
        <w:t xml:space="preserve"> وسيلة موضوعة للإفضاء إلى المفسدة، كشرب المسكر المفضي إلى مفسدة السكر، والزنى المفضي إلى اختلاط المياه وفساد الغرس، ونحو ذلك فهذه أفعال وأقوال وضعت مفضية لهذه المفاسد وليس لها ظاهر غيرها.</w:t>
      </w:r>
    </w:p>
    <w:p w14:paraId="56433024" w14:textId="77777777" w:rsidR="0094067A" w:rsidRPr="008C0FB5" w:rsidRDefault="0094067A" w:rsidP="007A1F34">
      <w:pPr>
        <w:pStyle w:val="48"/>
        <w:numPr>
          <w:ilvl w:val="0"/>
          <w:numId w:val="24"/>
        </w:numPr>
        <w:rPr>
          <w:rFonts w:hint="cs"/>
          <w:rtl/>
        </w:rPr>
      </w:pPr>
      <w:r w:rsidRPr="008C0FB5">
        <w:rPr>
          <w:rFonts w:hint="cs"/>
          <w:b/>
          <w:bCs/>
          <w:rtl/>
        </w:rPr>
        <w:t>القسم الثاني:</w:t>
      </w:r>
      <w:r w:rsidRPr="008C0FB5">
        <w:rPr>
          <w:rFonts w:hint="cs"/>
          <w:rtl/>
        </w:rPr>
        <w:t xml:space="preserve"> وسيلة موضوعة للمباح، يقصد بها التوصل إلى المفسدة وهي أمور موضوعة للإفضاء إلى أمر جائز، أو مستحب، فتتخذ وسيلة إلى المحرم كمن يعقد النكاح بقصد التحليل، أو يعقد البيع بقصد الربا.</w:t>
      </w:r>
    </w:p>
    <w:p w14:paraId="6A9AB56F" w14:textId="77777777" w:rsidR="0094067A" w:rsidRPr="008C0FB5" w:rsidRDefault="0094067A" w:rsidP="007A1F34">
      <w:pPr>
        <w:pStyle w:val="48"/>
        <w:numPr>
          <w:ilvl w:val="0"/>
          <w:numId w:val="24"/>
        </w:numPr>
        <w:rPr>
          <w:rFonts w:hint="cs"/>
          <w:rtl/>
        </w:rPr>
      </w:pPr>
      <w:r w:rsidRPr="008C0FB5">
        <w:rPr>
          <w:rFonts w:hint="cs"/>
          <w:b/>
          <w:bCs/>
          <w:rtl/>
        </w:rPr>
        <w:t>القسم الثالث:</w:t>
      </w:r>
      <w:r w:rsidRPr="008C0FB5">
        <w:rPr>
          <w:rFonts w:hint="cs"/>
          <w:rtl/>
        </w:rPr>
        <w:t xml:space="preserve"> وسيلة موضوعة للمباح، لم يقصد بها التوصل إلى المفسدة لكنها مفضية إليها غالباً، ومفسدتها أرجح من مصلحتها، وذلك كمن يسب أرباب المشركين بين أظهرهم وتزيين المتوفى عنها زوجها في أيام عدتها.</w:t>
      </w:r>
    </w:p>
    <w:p w14:paraId="4C2F53CB" w14:textId="77777777" w:rsidR="0094067A" w:rsidRPr="008C0FB5" w:rsidRDefault="0094067A" w:rsidP="007A1F34">
      <w:pPr>
        <w:pStyle w:val="48"/>
        <w:numPr>
          <w:ilvl w:val="0"/>
          <w:numId w:val="24"/>
        </w:numPr>
        <w:rPr>
          <w:rFonts w:hint="cs"/>
          <w:rtl/>
        </w:rPr>
      </w:pPr>
      <w:r w:rsidRPr="008C0FB5">
        <w:rPr>
          <w:rFonts w:hint="cs"/>
          <w:rtl/>
        </w:rPr>
        <w:t>القسم الرابع: وسيلة موضوعة للمباح، وقد تفضي إلى المفسدة، ومصلحتها أرجح من مفسدتها. ومثاله النظر إلى المخطوبة، والمستامة والشهود عليها، وكلمة الحق عند ذي سلطان جائر، ونحو ذلك.</w:t>
      </w:r>
    </w:p>
    <w:p w14:paraId="4EAE5EDF" w14:textId="77777777" w:rsidR="0094067A" w:rsidRPr="008C0FB5" w:rsidRDefault="0094067A" w:rsidP="00C35031">
      <w:pPr>
        <w:pStyle w:val="35"/>
        <w:rPr>
          <w:rFonts w:hint="cs"/>
          <w:rtl/>
        </w:rPr>
      </w:pPr>
      <w:r w:rsidRPr="008C0FB5">
        <w:rPr>
          <w:rFonts w:hint="cs"/>
          <w:rtl/>
        </w:rPr>
        <w:t>ويرى ابن القيم ان القسمين الأول والرابع ليسا محلاً للنزاع، ذلك ان الشارع جاء لمنع القسم الأول كراهة أو تحريماً، بحسب درجاته في المفسدة. وجاء بإباحة القسم الرابع أو استحبابه أو إيجابه بحسب درجاته في المصلحة.</w:t>
      </w:r>
    </w:p>
    <w:p w14:paraId="127A7FD5" w14:textId="77777777" w:rsidR="0094067A" w:rsidRPr="008C0FB5" w:rsidRDefault="0094067A" w:rsidP="00C35031">
      <w:pPr>
        <w:pStyle w:val="35"/>
        <w:rPr>
          <w:rFonts w:hint="cs"/>
          <w:rtl/>
        </w:rPr>
      </w:pPr>
      <w:r w:rsidRPr="008C0FB5">
        <w:rPr>
          <w:rFonts w:hint="cs"/>
          <w:rtl/>
        </w:rPr>
        <w:t>أما القسمان الثاني والثالث، فهما مجال الخلاف وعلى ذلك فهما محل تطبيق سد الذرائع فيها، مع ملاحظة ان الثاني منهما لا يتحقق فيه المعيار الذاتي، ويأتي بعدها بـ(99) دليلاً على اعتبار سد الذرائع منها.</w:t>
      </w:r>
    </w:p>
    <w:p w14:paraId="0086DAA9" w14:textId="77777777" w:rsidR="0094067A" w:rsidRPr="008C0FB5" w:rsidRDefault="0094067A" w:rsidP="00C35031">
      <w:pPr>
        <w:pStyle w:val="35"/>
        <w:rPr>
          <w:rFonts w:hint="cs"/>
          <w:rtl/>
        </w:rPr>
      </w:pPr>
      <w:r w:rsidRPr="008C0FB5">
        <w:rPr>
          <w:rFonts w:hint="cs"/>
          <w:rtl/>
        </w:rPr>
        <w:lastRenderedPageBreak/>
        <w:t xml:space="preserve">ويرى الأستاذ محمد أبو زهرة على ان هذه الأقسام سليمة من حيث الفرض العقلي، غير ان القسم الأول لا يعد من باب الذرائع بل يعد من المقاصد لأن الخمر والزنى والقذف والربا وأكل مال الناس بالباطل والغصب والسرقة مفاسد في ذاتها وليست ذرائع ولا وسائل لمفاسد أخرى أكثر </w:t>
      </w:r>
      <w:proofErr w:type="gramStart"/>
      <w:r w:rsidRPr="008C0FB5">
        <w:rPr>
          <w:rFonts w:hint="cs"/>
          <w:rtl/>
        </w:rPr>
        <w:t>منها</w:t>
      </w:r>
      <w:r w:rsidRPr="008C0FB5">
        <w:rPr>
          <w:rFonts w:cs="Saihat" w:hint="cs"/>
          <w:vertAlign w:val="superscript"/>
          <w:rtl/>
        </w:rPr>
        <w:t>(</w:t>
      </w:r>
      <w:proofErr w:type="gramEnd"/>
      <w:r w:rsidRPr="008C0FB5">
        <w:rPr>
          <w:rStyle w:val="af0"/>
          <w:rFonts w:cs="Saihat"/>
          <w:sz w:val="30"/>
          <w:rtl/>
        </w:rPr>
        <w:footnoteReference w:id="170"/>
      </w:r>
      <w:r w:rsidRPr="008C0FB5">
        <w:rPr>
          <w:rFonts w:cs="Saihat" w:hint="cs"/>
          <w:vertAlign w:val="superscript"/>
          <w:rtl/>
        </w:rPr>
        <w:t>)</w:t>
      </w:r>
      <w:r w:rsidRPr="008C0FB5">
        <w:rPr>
          <w:rFonts w:hint="cs"/>
          <w:rtl/>
        </w:rPr>
        <w:t>.</w:t>
      </w:r>
    </w:p>
    <w:p w14:paraId="507F356C" w14:textId="77777777" w:rsidR="0094067A" w:rsidRPr="008C0FB5" w:rsidRDefault="0094067A" w:rsidP="00EE4C46">
      <w:pPr>
        <w:pStyle w:val="48"/>
        <w:rPr>
          <w:rFonts w:hint="cs"/>
          <w:rtl/>
        </w:rPr>
      </w:pPr>
      <w:r w:rsidRPr="008C0FB5">
        <w:rPr>
          <w:rFonts w:hint="cs"/>
          <w:b/>
          <w:bCs/>
          <w:rtl/>
        </w:rPr>
        <w:t xml:space="preserve">تقسيم </w:t>
      </w:r>
      <w:proofErr w:type="gramStart"/>
      <w:r w:rsidRPr="008C0FB5">
        <w:rPr>
          <w:rFonts w:hint="cs"/>
          <w:b/>
          <w:bCs/>
          <w:rtl/>
        </w:rPr>
        <w:t>الشاطبي</w:t>
      </w:r>
      <w:r w:rsidRPr="008C0FB5">
        <w:rPr>
          <w:rFonts w:cs="Saihat" w:hint="cs"/>
          <w:vertAlign w:val="superscript"/>
          <w:rtl/>
        </w:rPr>
        <w:t>(</w:t>
      </w:r>
      <w:proofErr w:type="gramEnd"/>
      <w:r w:rsidRPr="008C0FB5">
        <w:rPr>
          <w:rFonts w:cs="Saihat"/>
          <w:vertAlign w:val="superscript"/>
          <w:rtl/>
        </w:rPr>
        <w:footnoteReference w:id="171"/>
      </w:r>
      <w:r w:rsidRPr="008C0FB5">
        <w:rPr>
          <w:rFonts w:cs="Saihat" w:hint="cs"/>
          <w:vertAlign w:val="superscript"/>
          <w:rtl/>
        </w:rPr>
        <w:t>)</w:t>
      </w:r>
      <w:r w:rsidRPr="008C0FB5">
        <w:rPr>
          <w:rFonts w:hint="cs"/>
          <w:rtl/>
        </w:rPr>
        <w:t>:</w:t>
      </w:r>
    </w:p>
    <w:p w14:paraId="3B315AA2" w14:textId="77777777" w:rsidR="0094067A" w:rsidRPr="008C0FB5" w:rsidRDefault="0094067A" w:rsidP="00C35031">
      <w:pPr>
        <w:pStyle w:val="48"/>
        <w:rPr>
          <w:rFonts w:hint="cs"/>
          <w:rtl/>
        </w:rPr>
      </w:pPr>
      <w:r w:rsidRPr="008C0FB5">
        <w:rPr>
          <w:rFonts w:hint="cs"/>
          <w:rtl/>
        </w:rPr>
        <w:t>لقد قسم الشاطبي الوسائل إلى أربعة أقسام:</w:t>
      </w:r>
    </w:p>
    <w:p w14:paraId="6F6EDB74" w14:textId="77777777" w:rsidR="0094067A" w:rsidRPr="008C0FB5" w:rsidRDefault="0094067A" w:rsidP="007A1F34">
      <w:pPr>
        <w:pStyle w:val="48"/>
        <w:numPr>
          <w:ilvl w:val="0"/>
          <w:numId w:val="25"/>
        </w:numPr>
        <w:rPr>
          <w:rFonts w:hint="cs"/>
          <w:rtl/>
        </w:rPr>
      </w:pPr>
      <w:r w:rsidRPr="008C0FB5">
        <w:rPr>
          <w:rFonts w:hint="cs"/>
          <w:b/>
          <w:bCs/>
          <w:rtl/>
        </w:rPr>
        <w:t>القسم الأول:</w:t>
      </w:r>
      <w:r w:rsidRPr="008C0FB5">
        <w:rPr>
          <w:rFonts w:hint="cs"/>
          <w:rtl/>
        </w:rPr>
        <w:t xml:space="preserve"> ما يكون </w:t>
      </w:r>
      <w:proofErr w:type="gramStart"/>
      <w:r w:rsidRPr="008C0FB5">
        <w:rPr>
          <w:rFonts w:hint="cs"/>
          <w:rtl/>
        </w:rPr>
        <w:t>أداءه</w:t>
      </w:r>
      <w:proofErr w:type="gramEnd"/>
      <w:r w:rsidRPr="008C0FB5">
        <w:rPr>
          <w:rFonts w:hint="cs"/>
          <w:rtl/>
        </w:rPr>
        <w:t xml:space="preserve"> للمفسدة قطعاً، كحفر البئر خلف باب الدار في الظلام، بحيث يقع الداخل فيه بلا بد، وشبه ذلك.</w:t>
      </w:r>
    </w:p>
    <w:p w14:paraId="0AE5F2D8" w14:textId="77777777" w:rsidR="0094067A" w:rsidRPr="008C0FB5" w:rsidRDefault="0094067A" w:rsidP="007A1F34">
      <w:pPr>
        <w:pStyle w:val="48"/>
        <w:numPr>
          <w:ilvl w:val="0"/>
          <w:numId w:val="25"/>
        </w:numPr>
        <w:rPr>
          <w:rFonts w:hint="cs"/>
          <w:rtl/>
        </w:rPr>
      </w:pPr>
      <w:r w:rsidRPr="008C0FB5">
        <w:rPr>
          <w:rFonts w:hint="cs"/>
          <w:b/>
          <w:bCs/>
          <w:rtl/>
        </w:rPr>
        <w:t>القسم الثاني:</w:t>
      </w:r>
      <w:r w:rsidRPr="008C0FB5">
        <w:rPr>
          <w:rFonts w:hint="cs"/>
          <w:rtl/>
        </w:rPr>
        <w:t xml:space="preserve"> ما يكون </w:t>
      </w:r>
      <w:proofErr w:type="gramStart"/>
      <w:r w:rsidRPr="008C0FB5">
        <w:rPr>
          <w:rFonts w:hint="cs"/>
          <w:rtl/>
        </w:rPr>
        <w:t>أداءه</w:t>
      </w:r>
      <w:proofErr w:type="gramEnd"/>
      <w:r w:rsidRPr="008C0FB5">
        <w:rPr>
          <w:rFonts w:hint="cs"/>
          <w:rtl/>
        </w:rPr>
        <w:t xml:space="preserve"> إلى المفسدة نادراً كحفر البئر بموضع لا يؤدي غالباً إلى وقوع أحد فيه، وبيع الأغذية التي غالبها لا يضر أحداً.</w:t>
      </w:r>
    </w:p>
    <w:p w14:paraId="32A20C21" w14:textId="77777777" w:rsidR="0094067A" w:rsidRPr="008C0FB5" w:rsidRDefault="0094067A" w:rsidP="007A1F34">
      <w:pPr>
        <w:pStyle w:val="48"/>
        <w:numPr>
          <w:ilvl w:val="0"/>
          <w:numId w:val="25"/>
        </w:numPr>
        <w:rPr>
          <w:rFonts w:hint="cs"/>
          <w:rtl/>
        </w:rPr>
      </w:pPr>
      <w:r w:rsidRPr="008C0FB5">
        <w:rPr>
          <w:rFonts w:hint="cs"/>
          <w:b/>
          <w:bCs/>
          <w:rtl/>
        </w:rPr>
        <w:t>القسم الثالث:</w:t>
      </w:r>
      <w:r w:rsidRPr="008C0FB5">
        <w:rPr>
          <w:rFonts w:hint="cs"/>
          <w:rtl/>
        </w:rPr>
        <w:t xml:space="preserve"> أن يكون أداءه إلى المفسدة كثيراً، بحيث يغلب على الظن الراجح أن يؤدي إليها، كبيع السلاح في وقت الفتن، وبيع العنب للخمار، ونحو ذلك مما يقع في غالب الظن، لا على سبيل القطع أداءه على المفسدة.</w:t>
      </w:r>
    </w:p>
    <w:p w14:paraId="0DB828A8" w14:textId="77777777" w:rsidR="0094067A" w:rsidRPr="008C0FB5" w:rsidRDefault="0094067A" w:rsidP="007A1F34">
      <w:pPr>
        <w:pStyle w:val="48"/>
        <w:numPr>
          <w:ilvl w:val="0"/>
          <w:numId w:val="25"/>
        </w:numPr>
        <w:rPr>
          <w:rFonts w:hint="cs"/>
          <w:rtl/>
        </w:rPr>
      </w:pPr>
      <w:r w:rsidRPr="008C0FB5">
        <w:rPr>
          <w:rFonts w:hint="cs"/>
          <w:b/>
          <w:bCs/>
          <w:rtl/>
        </w:rPr>
        <w:t>القسم الرابع:</w:t>
      </w:r>
      <w:r w:rsidRPr="008C0FB5">
        <w:rPr>
          <w:rFonts w:hint="cs"/>
          <w:rtl/>
        </w:rPr>
        <w:t xml:space="preserve"> أن يكون أداءه إلى المفسدة كثيراً، ولكن كثرته لم تبلغ أن تحمل العقل على ظن المفسدة فيه دائماً، كمسائل البيوع </w:t>
      </w:r>
      <w:proofErr w:type="gramStart"/>
      <w:r w:rsidRPr="008C0FB5">
        <w:rPr>
          <w:rFonts w:hint="cs"/>
          <w:rtl/>
        </w:rPr>
        <w:t>الربوية</w:t>
      </w:r>
      <w:r w:rsidRPr="008C0FB5">
        <w:rPr>
          <w:rFonts w:cs="Saihat" w:hint="cs"/>
          <w:vertAlign w:val="superscript"/>
          <w:rtl/>
        </w:rPr>
        <w:t>(</w:t>
      </w:r>
      <w:proofErr w:type="gramEnd"/>
      <w:r w:rsidRPr="008C0FB5">
        <w:rPr>
          <w:rStyle w:val="af0"/>
          <w:rFonts w:cs="Saihat"/>
          <w:sz w:val="30"/>
          <w:rtl/>
        </w:rPr>
        <w:footnoteReference w:id="172"/>
      </w:r>
      <w:r w:rsidRPr="008C0FB5">
        <w:rPr>
          <w:rFonts w:cs="Saihat" w:hint="cs"/>
          <w:vertAlign w:val="superscript"/>
          <w:rtl/>
        </w:rPr>
        <w:t>)</w:t>
      </w:r>
      <w:r w:rsidRPr="008C0FB5">
        <w:rPr>
          <w:rFonts w:hint="cs"/>
          <w:rtl/>
        </w:rPr>
        <w:t>، ويبادر إلى استبعاد القسم الأول والثاني من المبحث لأنهما ليسا محلاً للخلاف، كما استبعدنا القسمين الأول والرابع من تقسيم ابن القيم. ونلتفت إلى القسمين الأخيرين، فهما محل تطبيق سد الذرائع على أن المعيار السائد في القسم الأول منهما إذا كان ذاتياً يستند إلى قصد الفاعل فهو في القسم الأخير موضوعي، ونقف هنا قليلاً عند هذا القسم لنرى كيف يعلل الشاطبي بأسلوبه البليغ الواضح خروج مالك فيه عن الأصل الذي يقضي الحل وهو يقرر انه رغم ان كل من الشافعي ومالك لم يعتد بالقصد، فقد وصلا إلى نتائج متباينة، ذلك ان الشافعي قد انتهى به عدم اعتداده بالقصد إلى إبقاء التصرف على أصل الإذن من الإباحة فسمح ببيع العينة.</w:t>
      </w:r>
    </w:p>
    <w:p w14:paraId="6CFC6043" w14:textId="77777777" w:rsidR="0094067A" w:rsidRPr="008C0FB5" w:rsidRDefault="0094067A" w:rsidP="00C35031">
      <w:pPr>
        <w:pStyle w:val="35"/>
        <w:rPr>
          <w:rFonts w:hint="cs"/>
          <w:rtl/>
        </w:rPr>
      </w:pPr>
      <w:r w:rsidRPr="008C0FB5">
        <w:rPr>
          <w:rFonts w:hint="cs"/>
          <w:rtl/>
        </w:rPr>
        <w:t>أما مالك فقد انتهى به عد اعتداده بالقصد إلى خروج التصرف على أصل الإذن، ولكن لا على أساس ان صاحب التصرف قد قصد به المفسدة، بل على أساس كثرة وقوع القسد إلى المفسدة، وهو كما نرى معيار موضوعي لا ذاتي.</w:t>
      </w:r>
    </w:p>
    <w:p w14:paraId="2905E320" w14:textId="77777777" w:rsidR="0094067A" w:rsidRPr="008C0FB5" w:rsidRDefault="0094067A" w:rsidP="00C35031">
      <w:pPr>
        <w:pStyle w:val="35"/>
        <w:rPr>
          <w:rFonts w:hint="cs"/>
          <w:rtl/>
        </w:rPr>
      </w:pPr>
      <w:r w:rsidRPr="008C0FB5">
        <w:rPr>
          <w:rFonts w:hint="cs"/>
          <w:rtl/>
        </w:rPr>
        <w:t xml:space="preserve">ولنستمع الآن إلى الشاطبي يشرح بأسلوبه القوي الجلي وجهة نظر الطرفين، يقول: </w:t>
      </w:r>
    </w:p>
    <w:p w14:paraId="61E714F8" w14:textId="77777777" w:rsidR="0094067A" w:rsidRPr="008C0FB5" w:rsidRDefault="0094067A" w:rsidP="00A613BA">
      <w:pPr>
        <w:pStyle w:val="afffffff1"/>
        <w:rPr>
          <w:rFonts w:hint="cs"/>
          <w:rtl/>
        </w:rPr>
      </w:pPr>
      <w:r w:rsidRPr="008C0FB5">
        <w:rPr>
          <w:rFonts w:hint="cs"/>
          <w:rtl/>
        </w:rPr>
        <w:t xml:space="preserve">وأما ما يكون </w:t>
      </w:r>
      <w:proofErr w:type="gramStart"/>
      <w:r w:rsidRPr="008C0FB5">
        <w:rPr>
          <w:rFonts w:hint="cs"/>
          <w:rtl/>
        </w:rPr>
        <w:t>أداءه</w:t>
      </w:r>
      <w:proofErr w:type="gramEnd"/>
      <w:r w:rsidRPr="008C0FB5">
        <w:rPr>
          <w:rFonts w:hint="cs"/>
          <w:rtl/>
        </w:rPr>
        <w:t xml:space="preserve"> إلى المفسدة كثيراً، لا غالباً ولا نادراً فهو موضع نظر والتباس، والأصل الحمل على الأصل من صحة الإذن، كمذهب الشافعي وغيره، ولأن العلم والظن بوقوع المفسدة منتفيان، إذ ليس هذا إلا احتمال مجرد، بين الوقوع وعدمه، ولا قرينة ترجح أحد الجانبين على الآخر، واحتمال القصد إلى المفسدة والإضرار لا يقوم مقام نفس القصد ولا يقتضيه لوجود العوارض من الغفلة وغيرها عن كونها موجودة أو غير موجودة. وأيضاً فانه لا يصح أن يعد الجانب او الدافع هنا مقصراً ولا قاصداً، كما في العلم والظن، لأنه ليس حمله على القصد إليهما. </w:t>
      </w:r>
      <w:r w:rsidRPr="008C0FB5">
        <w:rPr>
          <w:rFonts w:hint="cs"/>
          <w:rtl/>
        </w:rPr>
        <w:lastRenderedPageBreak/>
        <w:t xml:space="preserve">(إلى المفسدة والإضرار) أولى من حمله على عدم القصد لواحد منهما، وإذا كان كذلك، فالسبب المأذون فيه قوي جداً إلى ان مالكاً اعتبره في سد الذرائع بناءاً على كثرة القصد وقوعاً، وذلك ان القصد لا ينضبط في نفسه، لأنه من الأمور الباطنية، لكن له مجالاً هنا وهو كثرة الوقوع في الوجود أو هو مظنة ذلك فكما اعتبرت المظنة وإن صح التخلف، وكذلك تعتبر الكثرة لأنها مجال القصد. ولهذا أصل وهو حديث أم ولد زيد بن أرقم، وأيضاً فقد يشرع الحكم لعلته مع كون فواتها كثيراً، كحد الخمر فانه مشروع للزجر، والازدجار به كثير لا غالب، فاعتدنا الكثرة في الحكم بما هو على خلاف </w:t>
      </w:r>
      <w:proofErr w:type="gramStart"/>
      <w:r w:rsidRPr="008C0FB5">
        <w:rPr>
          <w:rFonts w:hint="cs"/>
          <w:rtl/>
        </w:rPr>
        <w:t>الأصل</w:t>
      </w:r>
      <w:r w:rsidRPr="008C0FB5">
        <w:rPr>
          <w:rFonts w:hint="cs"/>
          <w:szCs w:val="30"/>
          <w:vertAlign w:val="superscript"/>
          <w:rtl/>
        </w:rPr>
        <w:t>(</w:t>
      </w:r>
      <w:proofErr w:type="gramEnd"/>
      <w:r w:rsidRPr="008C0FB5">
        <w:rPr>
          <w:rStyle w:val="af0"/>
          <w:sz w:val="30"/>
          <w:szCs w:val="30"/>
          <w:rtl/>
        </w:rPr>
        <w:footnoteReference w:id="173"/>
      </w:r>
      <w:r w:rsidRPr="008C0FB5">
        <w:rPr>
          <w:rFonts w:hint="cs"/>
          <w:szCs w:val="30"/>
          <w:vertAlign w:val="superscript"/>
          <w:rtl/>
        </w:rPr>
        <w:t>)</w:t>
      </w:r>
      <w:r w:rsidRPr="008C0FB5">
        <w:rPr>
          <w:rFonts w:hint="cs"/>
          <w:rtl/>
        </w:rPr>
        <w:t>.</w:t>
      </w:r>
    </w:p>
    <w:p w14:paraId="791C5FD5" w14:textId="77777777" w:rsidR="0094067A" w:rsidRPr="008C0FB5" w:rsidRDefault="0094067A" w:rsidP="00C253D0">
      <w:pPr>
        <w:pStyle w:val="af8"/>
        <w:rPr>
          <w:rFonts w:hint="cs"/>
          <w:rtl/>
          <w:lang w:bidi="ar-IQ"/>
        </w:rPr>
      </w:pPr>
      <w:bookmarkStart w:id="70" w:name="_Toc8643662"/>
      <w:r w:rsidRPr="008C0FB5">
        <w:rPr>
          <w:rFonts w:hint="cs"/>
          <w:rtl/>
          <w:lang w:bidi="ar-IQ"/>
        </w:rPr>
        <w:t>الفرع الثالث: ما يستنتج مما ذكر من الأدلة</w:t>
      </w:r>
      <w:bookmarkEnd w:id="70"/>
    </w:p>
    <w:p w14:paraId="5095643E" w14:textId="77777777" w:rsidR="0094067A" w:rsidRPr="008C0FB5" w:rsidRDefault="0094067A" w:rsidP="00C35031">
      <w:pPr>
        <w:pStyle w:val="48"/>
        <w:rPr>
          <w:rFonts w:hint="cs"/>
          <w:rtl/>
        </w:rPr>
      </w:pPr>
      <w:r w:rsidRPr="008C0FB5">
        <w:rPr>
          <w:rFonts w:hint="cs"/>
          <w:rtl/>
        </w:rPr>
        <w:t>نستنتج مما سبق ان هنالك صلة بين هاتين الظاهرتين قاعدة الذرائع والباعث غير المشروع.</w:t>
      </w:r>
    </w:p>
    <w:p w14:paraId="0E336DBA" w14:textId="77777777" w:rsidR="0094067A" w:rsidRPr="008C0FB5" w:rsidRDefault="0094067A" w:rsidP="00C35031">
      <w:pPr>
        <w:pStyle w:val="35"/>
        <w:rPr>
          <w:rFonts w:hint="cs"/>
          <w:rtl/>
        </w:rPr>
      </w:pPr>
      <w:r w:rsidRPr="008C0FB5">
        <w:rPr>
          <w:rFonts w:hint="cs"/>
          <w:rtl/>
        </w:rPr>
        <w:t>إذ إن من وسع العمل بقاعدة الذرائع اعتد بالباعث على التعاقد وأبطل العقود التي يكون الباعث على إبرامها غير مشروع بمجرد علم الطرف الآخر أو إمكان علمه بهذا الباعث دون أن يشترطوا ذكر الباعث غير المشروع في العقد، أما من عمل بقاعدة الذرائع في نطاق محدود فان ذلك أثر سلباً على الاعتداد بالباعث غير المشروع وذلك بأن اشترطوا ذكر الباعث غير المشروع صراحة في العقد كشرط لإبطال العقد ومن الفقهاء من وقف موقفاً وسطاً بين المذهبين السابقين كالحنفية فانهم لم يأخذوا بقاعدة الذرائع كأصل من الأصول الفقهية المعتبرة لديهم ولكنها انطوت تحت القواعد المعمول بها لديهم فانهم وقفوا موقفاً وسطاً بالنسبة للباعث غير المشروع فلم يشترطوا ذكره صراحة في العقد ولم يأخذوا به بمجرد العلم وإنما أخذوا بالباعث الدافع غير المشروع كسبب من أسباب بطلان العقد إذا أمكن استخلاصه من طبيعة المحل، فإذا كان المحل لا يمكن استخدامه إلا في أغراض غير مشروعة فان من خلاله يمكن استخلاص ان الطرف الآخر يهدف من وراءه(المحل) تحقيق أغراض غير مشروعة فيبطل العقد على هذا الأساس.</w:t>
      </w:r>
    </w:p>
    <w:p w14:paraId="66052BD2" w14:textId="77777777" w:rsidR="0094067A" w:rsidRPr="008C0FB5" w:rsidRDefault="00202833" w:rsidP="00C253D0">
      <w:pPr>
        <w:pStyle w:val="a1"/>
        <w:rPr>
          <w:rFonts w:hint="cs"/>
          <w:rtl/>
        </w:rPr>
      </w:pPr>
      <w:r w:rsidRPr="008C0FB5">
        <w:rPr>
          <w:rtl/>
        </w:rPr>
        <w:br w:type="page"/>
      </w:r>
      <w:bookmarkStart w:id="71" w:name="_Toc8643663"/>
      <w:r w:rsidR="0094067A" w:rsidRPr="008C0FB5">
        <w:rPr>
          <w:rFonts w:hint="cs"/>
          <w:rtl/>
        </w:rPr>
        <w:lastRenderedPageBreak/>
        <w:t>المطلب الثالث: قاعدة الحيل وقاعدة الأمور بمقاصدها</w:t>
      </w:r>
      <w:bookmarkEnd w:id="71"/>
    </w:p>
    <w:p w14:paraId="6F6EFA6B" w14:textId="77777777" w:rsidR="0094067A" w:rsidRPr="008C0FB5" w:rsidRDefault="0094067A" w:rsidP="00C35031">
      <w:pPr>
        <w:pStyle w:val="48"/>
        <w:rPr>
          <w:rFonts w:hint="cs"/>
          <w:rtl/>
        </w:rPr>
      </w:pPr>
      <w:r w:rsidRPr="008C0FB5">
        <w:rPr>
          <w:rFonts w:hint="cs"/>
          <w:rtl/>
        </w:rPr>
        <w:t>ونقسم هذا المطلب إلى فرعين نتناول في أولهما قاعدة الحيل أما ثانيهما فقد خصصناه لبحث قاعدة الأمور بمقاصدها.</w:t>
      </w:r>
    </w:p>
    <w:p w14:paraId="0F89C0A1" w14:textId="77777777" w:rsidR="0094067A" w:rsidRPr="008C0FB5" w:rsidRDefault="0094067A" w:rsidP="00C253D0">
      <w:pPr>
        <w:pStyle w:val="af8"/>
        <w:rPr>
          <w:rFonts w:hint="cs"/>
          <w:rtl/>
          <w:lang w:bidi="ar-IQ"/>
        </w:rPr>
      </w:pPr>
      <w:bookmarkStart w:id="72" w:name="_Toc8643664"/>
      <w:r w:rsidRPr="008C0FB5">
        <w:rPr>
          <w:rFonts w:hint="cs"/>
          <w:rtl/>
          <w:lang w:bidi="ar-IQ"/>
        </w:rPr>
        <w:t>الفرع الأول: قاعـدة الحيل</w:t>
      </w:r>
      <w:bookmarkEnd w:id="72"/>
    </w:p>
    <w:p w14:paraId="32AF8761" w14:textId="77777777" w:rsidR="0094067A" w:rsidRPr="008C0FB5" w:rsidRDefault="0094067A" w:rsidP="00C35031">
      <w:pPr>
        <w:pStyle w:val="48"/>
        <w:rPr>
          <w:rFonts w:hint="cs"/>
          <w:rtl/>
        </w:rPr>
      </w:pPr>
      <w:r w:rsidRPr="008C0FB5">
        <w:rPr>
          <w:rFonts w:hint="cs"/>
          <w:rtl/>
        </w:rPr>
        <w:t xml:space="preserve">يعرف الإمام الشاطبي الحيلة بأنها </w:t>
      </w:r>
    </w:p>
    <w:p w14:paraId="12E95222" w14:textId="77777777" w:rsidR="0094067A" w:rsidRPr="008C0FB5" w:rsidRDefault="0094067A" w:rsidP="00A613BA">
      <w:pPr>
        <w:pStyle w:val="afffffff1"/>
        <w:rPr>
          <w:rFonts w:hint="cs"/>
          <w:rtl/>
        </w:rPr>
      </w:pPr>
      <w:r w:rsidRPr="008C0FB5">
        <w:rPr>
          <w:rFonts w:hint="cs"/>
          <w:rtl/>
        </w:rPr>
        <w:t xml:space="preserve">تقديم عمل ظاهر الجواز لإبطال حكم شرعي، وتحويله في الظاهر إلى حكم آخر فمآل العمل فيها خروم قواعد الشريعة في </w:t>
      </w:r>
      <w:proofErr w:type="gramStart"/>
      <w:r w:rsidRPr="008C0FB5">
        <w:rPr>
          <w:rFonts w:hint="cs"/>
          <w:rtl/>
        </w:rPr>
        <w:t>الواقع</w:t>
      </w:r>
      <w:r w:rsidRPr="008C0FB5">
        <w:rPr>
          <w:rFonts w:hint="cs"/>
          <w:szCs w:val="30"/>
          <w:vertAlign w:val="superscript"/>
          <w:rtl/>
        </w:rPr>
        <w:t>(</w:t>
      </w:r>
      <w:proofErr w:type="gramEnd"/>
      <w:r w:rsidRPr="008C0FB5">
        <w:rPr>
          <w:rStyle w:val="af0"/>
          <w:sz w:val="30"/>
          <w:szCs w:val="30"/>
          <w:rtl/>
        </w:rPr>
        <w:footnoteReference w:id="174"/>
      </w:r>
      <w:r w:rsidRPr="008C0FB5">
        <w:rPr>
          <w:rFonts w:hint="cs"/>
          <w:szCs w:val="30"/>
          <w:vertAlign w:val="superscript"/>
          <w:rtl/>
        </w:rPr>
        <w:t>)</w:t>
      </w:r>
      <w:r w:rsidRPr="008C0FB5">
        <w:rPr>
          <w:rFonts w:hint="cs"/>
          <w:rtl/>
        </w:rPr>
        <w:t>.</w:t>
      </w:r>
    </w:p>
    <w:p w14:paraId="1C00972E" w14:textId="77777777" w:rsidR="0094067A" w:rsidRPr="008C0FB5" w:rsidRDefault="0094067A" w:rsidP="00C35031">
      <w:pPr>
        <w:pStyle w:val="35"/>
        <w:rPr>
          <w:rFonts w:hint="cs"/>
          <w:rtl/>
        </w:rPr>
      </w:pPr>
      <w:r w:rsidRPr="008C0FB5">
        <w:rPr>
          <w:rFonts w:hint="cs"/>
          <w:rtl/>
        </w:rPr>
        <w:t>ومن أمثلة كالواهب ماله عند رأس السنة فراراً من الزكاة. فوجه المناقضة هنا هو ان الهبة قد ندب الشرع إليها لتطهير النفس من الشح والدليل على ذلك قوله سبحانه وتعالى: ﴿</w:t>
      </w:r>
      <w:r w:rsidRPr="008C0FB5">
        <w:rPr>
          <w:rFonts w:cs="KFGQPC Uthman Taha Naskh" w:hint="cs"/>
          <w:rtl/>
        </w:rPr>
        <w:t xml:space="preserve">فَإِن طِبْنَ لَكُمْ عَن شَيْءٍ مِّنْهُ نَفْساً فَكُلُوهُ هَنِيئاً </w:t>
      </w:r>
      <w:proofErr w:type="gramStart"/>
      <w:r w:rsidRPr="008C0FB5">
        <w:rPr>
          <w:rFonts w:cs="KFGQPC Uthman Taha Naskh" w:hint="cs"/>
          <w:rtl/>
        </w:rPr>
        <w:t>مَّرِيئاً</w:t>
      </w:r>
      <w:r w:rsidRPr="008C0FB5">
        <w:rPr>
          <w:rFonts w:hint="cs"/>
          <w:rtl/>
        </w:rPr>
        <w:t>﴾</w:t>
      </w:r>
      <w:r w:rsidRPr="008C0FB5">
        <w:rPr>
          <w:rFonts w:cs="Saihat" w:hint="cs"/>
          <w:vertAlign w:val="superscript"/>
          <w:rtl/>
        </w:rPr>
        <w:t>(</w:t>
      </w:r>
      <w:proofErr w:type="gramEnd"/>
      <w:r w:rsidRPr="008C0FB5">
        <w:rPr>
          <w:rStyle w:val="af0"/>
          <w:rFonts w:cs="Saihat"/>
          <w:sz w:val="30"/>
          <w:rtl/>
        </w:rPr>
        <w:footnoteReference w:id="175"/>
      </w:r>
      <w:r w:rsidRPr="008C0FB5">
        <w:rPr>
          <w:rFonts w:cs="Saihat" w:hint="cs"/>
          <w:vertAlign w:val="superscript"/>
          <w:rtl/>
        </w:rPr>
        <w:t>)</w:t>
      </w:r>
      <w:r w:rsidRPr="008C0FB5">
        <w:rPr>
          <w:rFonts w:hint="cs"/>
          <w:rtl/>
        </w:rPr>
        <w:t>، فان هذا يجري مجرى الترغيب في أكل المهر وكذلك قوله</w:t>
      </w:r>
      <w:r w:rsidR="003E1E9A" w:rsidRPr="008C0FB5">
        <w:rPr>
          <w:rFonts w:hint="cs"/>
        </w:rPr>
        <w:t></w:t>
      </w:r>
      <w:r w:rsidRPr="008C0FB5">
        <w:rPr>
          <w:rFonts w:hint="cs"/>
          <w:rtl/>
        </w:rPr>
        <w:t xml:space="preserve">: </w:t>
      </w:r>
    </w:p>
    <w:p w14:paraId="5DB4755C" w14:textId="77777777" w:rsidR="0094067A" w:rsidRPr="008C0FB5" w:rsidRDefault="0094067A" w:rsidP="00A613BA">
      <w:pPr>
        <w:pStyle w:val="afffffff1"/>
        <w:rPr>
          <w:rFonts w:hint="cs"/>
          <w:rtl/>
        </w:rPr>
      </w:pPr>
      <w:r w:rsidRPr="008C0FB5">
        <w:rPr>
          <w:rFonts w:hint="cs"/>
          <w:rtl/>
        </w:rPr>
        <w:t xml:space="preserve">تهادوا تحابوا فانه ندب إلى التهادي والهدية </w:t>
      </w:r>
      <w:proofErr w:type="gramStart"/>
      <w:r w:rsidRPr="008C0FB5">
        <w:rPr>
          <w:rFonts w:hint="cs"/>
          <w:rtl/>
        </w:rPr>
        <w:t>هبة</w:t>
      </w:r>
      <w:r w:rsidRPr="008C0FB5">
        <w:rPr>
          <w:rFonts w:hint="cs"/>
          <w:szCs w:val="30"/>
          <w:vertAlign w:val="superscript"/>
          <w:rtl/>
        </w:rPr>
        <w:t>(</w:t>
      </w:r>
      <w:proofErr w:type="gramEnd"/>
      <w:r w:rsidRPr="008C0FB5">
        <w:rPr>
          <w:rStyle w:val="af0"/>
          <w:sz w:val="30"/>
          <w:szCs w:val="30"/>
          <w:rtl/>
        </w:rPr>
        <w:footnoteReference w:id="176"/>
      </w:r>
      <w:r w:rsidRPr="008C0FB5">
        <w:rPr>
          <w:rFonts w:hint="cs"/>
          <w:szCs w:val="30"/>
          <w:vertAlign w:val="superscript"/>
          <w:rtl/>
        </w:rPr>
        <w:t>)</w:t>
      </w:r>
      <w:r w:rsidRPr="008C0FB5">
        <w:rPr>
          <w:rFonts w:hint="cs"/>
          <w:rtl/>
        </w:rPr>
        <w:t>، إلا ان هبة المال قرب نهاية الحول هروباً من وجوب الزكاة، فيها تقوية لرذيلة الشح، وحرمان الفقراء من حقهم</w:t>
      </w:r>
      <w:r w:rsidRPr="008C0FB5">
        <w:rPr>
          <w:rFonts w:hint="cs"/>
          <w:szCs w:val="30"/>
          <w:vertAlign w:val="superscript"/>
          <w:rtl/>
        </w:rPr>
        <w:t>(</w:t>
      </w:r>
      <w:r w:rsidRPr="008C0FB5">
        <w:rPr>
          <w:rStyle w:val="af0"/>
          <w:sz w:val="30"/>
          <w:szCs w:val="30"/>
          <w:rtl/>
        </w:rPr>
        <w:footnoteReference w:id="177"/>
      </w:r>
      <w:r w:rsidRPr="008C0FB5">
        <w:rPr>
          <w:rFonts w:hint="cs"/>
          <w:szCs w:val="30"/>
          <w:vertAlign w:val="superscript"/>
          <w:rtl/>
        </w:rPr>
        <w:t>)</w:t>
      </w:r>
      <w:r w:rsidRPr="008C0FB5">
        <w:rPr>
          <w:rFonts w:hint="cs"/>
          <w:rtl/>
        </w:rPr>
        <w:t>.</w:t>
      </w:r>
    </w:p>
    <w:p w14:paraId="6F07265B" w14:textId="77777777" w:rsidR="0094067A" w:rsidRPr="008C0FB5" w:rsidRDefault="0094067A" w:rsidP="00C35031">
      <w:pPr>
        <w:pStyle w:val="35"/>
        <w:rPr>
          <w:rFonts w:hint="cs"/>
          <w:rtl/>
        </w:rPr>
      </w:pPr>
      <w:r w:rsidRPr="008C0FB5">
        <w:rPr>
          <w:rFonts w:hint="cs"/>
          <w:rtl/>
        </w:rPr>
        <w:t xml:space="preserve">ويقول ابن القيم الجوزية في الحيلة </w:t>
      </w:r>
    </w:p>
    <w:p w14:paraId="00576C65" w14:textId="77777777" w:rsidR="0094067A" w:rsidRPr="008C0FB5" w:rsidRDefault="0094067A" w:rsidP="00A613BA">
      <w:pPr>
        <w:pStyle w:val="afffffff1"/>
        <w:rPr>
          <w:rFonts w:hint="cs"/>
          <w:rtl/>
        </w:rPr>
      </w:pPr>
      <w:r w:rsidRPr="008C0FB5">
        <w:rPr>
          <w:rFonts w:hint="cs"/>
          <w:rtl/>
        </w:rPr>
        <w:t xml:space="preserve">المخادعة هي الاحتيال والمراوغة بإظهار أمر جائز ليتوصل به إلى أمر محرم </w:t>
      </w:r>
      <w:proofErr w:type="gramStart"/>
      <w:r w:rsidRPr="008C0FB5">
        <w:rPr>
          <w:rFonts w:hint="cs"/>
          <w:rtl/>
        </w:rPr>
        <w:t>يبطنه</w:t>
      </w:r>
      <w:r w:rsidRPr="008C0FB5">
        <w:rPr>
          <w:rFonts w:hint="cs"/>
          <w:szCs w:val="30"/>
          <w:vertAlign w:val="superscript"/>
          <w:rtl/>
        </w:rPr>
        <w:t>(</w:t>
      </w:r>
      <w:proofErr w:type="gramEnd"/>
      <w:r w:rsidRPr="008C0FB5">
        <w:rPr>
          <w:rStyle w:val="af0"/>
          <w:sz w:val="30"/>
          <w:szCs w:val="30"/>
          <w:rtl/>
        </w:rPr>
        <w:footnoteReference w:id="178"/>
      </w:r>
      <w:r w:rsidRPr="008C0FB5">
        <w:rPr>
          <w:rFonts w:hint="cs"/>
          <w:szCs w:val="30"/>
          <w:vertAlign w:val="superscript"/>
          <w:rtl/>
        </w:rPr>
        <w:t>)</w:t>
      </w:r>
    </w:p>
    <w:p w14:paraId="34E61192" w14:textId="77777777" w:rsidR="0094067A" w:rsidRPr="008C0FB5" w:rsidRDefault="0094067A" w:rsidP="00C35031">
      <w:pPr>
        <w:pStyle w:val="35"/>
        <w:rPr>
          <w:rFonts w:hint="cs"/>
          <w:rtl/>
        </w:rPr>
      </w:pPr>
      <w:r w:rsidRPr="008C0FB5">
        <w:rPr>
          <w:rFonts w:hint="cs"/>
          <w:rtl/>
        </w:rPr>
        <w:t xml:space="preserve">ويعتمد ابن القيم في إبطال الحيل على مبدأ هو: ان الأصل في الأحكام التعليل، </w:t>
      </w:r>
      <w:proofErr w:type="gramStart"/>
      <w:r w:rsidRPr="008C0FB5">
        <w:rPr>
          <w:rFonts w:hint="cs"/>
          <w:rtl/>
        </w:rPr>
        <w:t>وانها</w:t>
      </w:r>
      <w:proofErr w:type="gramEnd"/>
      <w:r w:rsidRPr="008C0FB5">
        <w:rPr>
          <w:rFonts w:hint="cs"/>
          <w:rtl/>
        </w:rPr>
        <w:t xml:space="preserve"> شرعت لمصالح العباد في المعاش والمعاد، فالاحتيال على تحليل المحرم أو إسقاط الواجب، مناقضة لقصد الشارع وتعطيل للمصالح، وتحقيق للمفاسد إذ يقول: </w:t>
      </w:r>
    </w:p>
    <w:p w14:paraId="793CCE53" w14:textId="77777777" w:rsidR="0094067A" w:rsidRPr="008C0FB5" w:rsidRDefault="0094067A" w:rsidP="00A613BA">
      <w:pPr>
        <w:pStyle w:val="afffffff1"/>
        <w:rPr>
          <w:rFonts w:hint="cs"/>
          <w:rtl/>
        </w:rPr>
      </w:pPr>
      <w:r w:rsidRPr="008C0FB5">
        <w:rPr>
          <w:rFonts w:hint="cs"/>
          <w:rtl/>
        </w:rPr>
        <w:t xml:space="preserve">ومما يدل على بطلان الحيل وتحريمها إن الله تعالى إنما أوجب الواجبات، وحرم المحرمات، لما تتضمن من مصالح عباده في معاشهم ومعادهم، فالشريعة لقلوبهم بمنزلة الغذاء الذي لابد لهم منه، والدواء الذي لا يندفع الداء إلا به، فإذا احتال العبد على تحليل ما حرم الله، وإسقاط ما فرض الله وتعطيل ما شرع الله كان ساعياً في دين الله بالفساد من وجهين:   </w:t>
      </w:r>
    </w:p>
    <w:p w14:paraId="2CC44EE6" w14:textId="77777777" w:rsidR="0094067A" w:rsidRPr="008C0FB5" w:rsidRDefault="0094067A" w:rsidP="007A1F34">
      <w:pPr>
        <w:pStyle w:val="48"/>
        <w:numPr>
          <w:ilvl w:val="0"/>
          <w:numId w:val="26"/>
        </w:numPr>
        <w:rPr>
          <w:rFonts w:hint="cs"/>
          <w:rtl/>
        </w:rPr>
      </w:pPr>
      <w:r w:rsidRPr="008C0FB5">
        <w:rPr>
          <w:rFonts w:hint="cs"/>
          <w:b/>
          <w:bCs/>
          <w:rtl/>
        </w:rPr>
        <w:t>أحدهما:</w:t>
      </w:r>
      <w:r w:rsidRPr="008C0FB5">
        <w:rPr>
          <w:rFonts w:hint="cs"/>
          <w:rtl/>
        </w:rPr>
        <w:t xml:space="preserve"> إبطالها ما في الأمر المحتال عليه من حكمة الشارع ونقض حكمته ومناقضته له.</w:t>
      </w:r>
    </w:p>
    <w:p w14:paraId="02139411" w14:textId="77777777" w:rsidR="0094067A" w:rsidRPr="008C0FB5" w:rsidRDefault="0094067A" w:rsidP="007A1F34">
      <w:pPr>
        <w:pStyle w:val="48"/>
        <w:numPr>
          <w:ilvl w:val="0"/>
          <w:numId w:val="26"/>
        </w:numPr>
        <w:rPr>
          <w:rFonts w:hint="cs"/>
          <w:rtl/>
        </w:rPr>
      </w:pPr>
      <w:r w:rsidRPr="008C0FB5">
        <w:rPr>
          <w:rFonts w:hint="cs"/>
          <w:b/>
          <w:bCs/>
          <w:rtl/>
        </w:rPr>
        <w:t>الثاني:</w:t>
      </w:r>
      <w:r w:rsidRPr="008C0FB5">
        <w:rPr>
          <w:rFonts w:hint="cs"/>
          <w:rtl/>
        </w:rPr>
        <w:t xml:space="preserve"> إن المحتال به ليس عنده حقيقة، ولا هو مقصوده بل ولا هو ظاهر المشروع، فالمشروع ليس مقصوداً له، والمقصود به هو المحرم </w:t>
      </w:r>
      <w:proofErr w:type="gramStart"/>
      <w:r w:rsidRPr="008C0FB5">
        <w:rPr>
          <w:rFonts w:hint="cs"/>
          <w:rtl/>
        </w:rPr>
        <w:t>نفسه</w:t>
      </w:r>
      <w:r w:rsidRPr="008C0FB5">
        <w:rPr>
          <w:rFonts w:cs="Saihat" w:hint="cs"/>
          <w:vertAlign w:val="superscript"/>
          <w:rtl/>
        </w:rPr>
        <w:t>(</w:t>
      </w:r>
      <w:proofErr w:type="gramEnd"/>
      <w:r w:rsidRPr="008C0FB5">
        <w:rPr>
          <w:rStyle w:val="af0"/>
          <w:rFonts w:cs="Saihat"/>
          <w:sz w:val="30"/>
          <w:rtl/>
        </w:rPr>
        <w:footnoteReference w:id="179"/>
      </w:r>
      <w:r w:rsidRPr="008C0FB5">
        <w:rPr>
          <w:rFonts w:cs="Saihat" w:hint="cs"/>
          <w:vertAlign w:val="superscript"/>
          <w:rtl/>
        </w:rPr>
        <w:t>)</w:t>
      </w:r>
      <w:r w:rsidRPr="008C0FB5">
        <w:rPr>
          <w:rFonts w:hint="cs"/>
          <w:rtl/>
        </w:rPr>
        <w:t>.</w:t>
      </w:r>
    </w:p>
    <w:p w14:paraId="442400BB" w14:textId="77777777" w:rsidR="0094067A" w:rsidRPr="008C0FB5" w:rsidRDefault="0094067A" w:rsidP="00C35031">
      <w:pPr>
        <w:pStyle w:val="35"/>
        <w:rPr>
          <w:rFonts w:hint="cs"/>
          <w:rtl/>
        </w:rPr>
      </w:pPr>
      <w:r w:rsidRPr="008C0FB5">
        <w:rPr>
          <w:rFonts w:hint="cs"/>
          <w:rtl/>
        </w:rPr>
        <w:lastRenderedPageBreak/>
        <w:t>وعلى ذلك فان تجويز الحيل يناقض مبدأ سد الذرائع مناقضة ظاهرة فان الشارع يسد الطريق إلى المفاسد بكل ممكن، والمحتال يفتح الطريق إليها بحيلة، فأين من يمنع الجائز خشية الوقوع في المحرم، إلى من يعمل الحيلة في التوصل إليه، ويقول ابن القيم الجوزية على إبطال الحيل قوله</w:t>
      </w:r>
      <w:r w:rsidR="003E1E9A" w:rsidRPr="008C0FB5">
        <w:rPr>
          <w:rFonts w:hint="cs"/>
        </w:rPr>
        <w:t></w:t>
      </w:r>
      <w:r w:rsidRPr="008C0FB5">
        <w:rPr>
          <w:rFonts w:hint="cs"/>
          <w:rtl/>
        </w:rPr>
        <w:t xml:space="preserve">: </w:t>
      </w:r>
    </w:p>
    <w:p w14:paraId="343CD463" w14:textId="77777777" w:rsidR="0094067A" w:rsidRPr="008C0FB5" w:rsidRDefault="0094067A" w:rsidP="00A613BA">
      <w:pPr>
        <w:pStyle w:val="afffffff1"/>
        <w:rPr>
          <w:rFonts w:hint="cs"/>
          <w:rtl/>
        </w:rPr>
      </w:pPr>
      <w:r w:rsidRPr="008C0FB5">
        <w:rPr>
          <w:rFonts w:hint="cs"/>
          <w:rtl/>
        </w:rPr>
        <w:t xml:space="preserve">إنما الأعمال بالنيات وإنما لك امرئ ما </w:t>
      </w:r>
      <w:proofErr w:type="gramStart"/>
      <w:r w:rsidRPr="008C0FB5">
        <w:rPr>
          <w:rFonts w:hint="cs"/>
          <w:rtl/>
        </w:rPr>
        <w:t>نوى</w:t>
      </w:r>
      <w:r w:rsidRPr="008C0FB5">
        <w:rPr>
          <w:rFonts w:hint="cs"/>
          <w:szCs w:val="30"/>
          <w:vertAlign w:val="superscript"/>
          <w:rtl/>
        </w:rPr>
        <w:t>(</w:t>
      </w:r>
      <w:proofErr w:type="gramEnd"/>
      <w:r w:rsidRPr="008C0FB5">
        <w:rPr>
          <w:rStyle w:val="af0"/>
          <w:sz w:val="30"/>
          <w:szCs w:val="30"/>
          <w:rtl/>
        </w:rPr>
        <w:footnoteReference w:id="180"/>
      </w:r>
      <w:r w:rsidRPr="008C0FB5">
        <w:rPr>
          <w:rFonts w:hint="cs"/>
          <w:szCs w:val="30"/>
          <w:vertAlign w:val="superscript"/>
          <w:rtl/>
        </w:rPr>
        <w:t>)</w:t>
      </w:r>
      <w:r w:rsidRPr="008C0FB5">
        <w:rPr>
          <w:rFonts w:hint="cs"/>
          <w:rtl/>
        </w:rPr>
        <w:t xml:space="preserve">. </w:t>
      </w:r>
    </w:p>
    <w:p w14:paraId="1CACAB44" w14:textId="77777777" w:rsidR="0094067A" w:rsidRPr="008C0FB5" w:rsidRDefault="0094067A" w:rsidP="00C35031">
      <w:pPr>
        <w:pStyle w:val="35"/>
        <w:rPr>
          <w:rFonts w:hint="cs"/>
          <w:rtl/>
        </w:rPr>
      </w:pPr>
      <w:r w:rsidRPr="008C0FB5">
        <w:rPr>
          <w:rFonts w:hint="cs"/>
          <w:rtl/>
        </w:rPr>
        <w:t xml:space="preserve">فيقول: </w:t>
      </w:r>
    </w:p>
    <w:p w14:paraId="27330641" w14:textId="77777777" w:rsidR="0094067A" w:rsidRPr="008C0FB5" w:rsidRDefault="0094067A" w:rsidP="00A613BA">
      <w:pPr>
        <w:pStyle w:val="afffffff1"/>
        <w:rPr>
          <w:rFonts w:hint="cs"/>
          <w:rtl/>
        </w:rPr>
      </w:pPr>
      <w:r w:rsidRPr="008C0FB5">
        <w:rPr>
          <w:rFonts w:hint="cs"/>
          <w:rtl/>
        </w:rPr>
        <w:t xml:space="preserve">إن الأعمال تابعة لمقاصدها ونياتها، وان ليس للعبد في ظاهر قوله وعمله إلا ما نوى، وأبطنه لا ما أعلنه وأظهره، وهذا نص في ان من نوى التحليل كان </w:t>
      </w:r>
      <w:proofErr w:type="gramStart"/>
      <w:r w:rsidRPr="008C0FB5">
        <w:rPr>
          <w:rFonts w:hint="cs"/>
          <w:rtl/>
        </w:rPr>
        <w:t>محللاً</w:t>
      </w:r>
      <w:r w:rsidRPr="008C0FB5">
        <w:rPr>
          <w:rFonts w:hint="cs"/>
          <w:szCs w:val="30"/>
          <w:vertAlign w:val="superscript"/>
          <w:rtl/>
        </w:rPr>
        <w:t>(</w:t>
      </w:r>
      <w:proofErr w:type="gramEnd"/>
      <w:r w:rsidRPr="008C0FB5">
        <w:rPr>
          <w:rStyle w:val="af0"/>
          <w:sz w:val="30"/>
          <w:szCs w:val="30"/>
          <w:rtl/>
        </w:rPr>
        <w:footnoteReference w:id="181"/>
      </w:r>
      <w:r w:rsidRPr="008C0FB5">
        <w:rPr>
          <w:rFonts w:hint="cs"/>
          <w:szCs w:val="30"/>
          <w:vertAlign w:val="superscript"/>
          <w:rtl/>
        </w:rPr>
        <w:t>)</w:t>
      </w:r>
      <w:r w:rsidRPr="008C0FB5">
        <w:rPr>
          <w:rFonts w:hint="cs"/>
          <w:rtl/>
        </w:rPr>
        <w:t xml:space="preserve"> </w:t>
      </w:r>
    </w:p>
    <w:p w14:paraId="6B83A814" w14:textId="77777777" w:rsidR="0094067A" w:rsidRPr="008C0FB5" w:rsidRDefault="0094067A" w:rsidP="00A613BA">
      <w:pPr>
        <w:pStyle w:val="afffffff1"/>
        <w:rPr>
          <w:rFonts w:hint="cs"/>
          <w:rtl/>
        </w:rPr>
      </w:pPr>
      <w:r w:rsidRPr="008C0FB5">
        <w:rPr>
          <w:rFonts w:hint="cs"/>
          <w:rtl/>
        </w:rPr>
        <w:t xml:space="preserve">ومن نوى الربا بعقد البيع كان </w:t>
      </w:r>
      <w:proofErr w:type="gramStart"/>
      <w:r w:rsidRPr="008C0FB5">
        <w:rPr>
          <w:rFonts w:hint="cs"/>
          <w:rtl/>
        </w:rPr>
        <w:t>مرابياً</w:t>
      </w:r>
      <w:r w:rsidRPr="008C0FB5">
        <w:rPr>
          <w:rFonts w:hint="cs"/>
          <w:szCs w:val="30"/>
          <w:vertAlign w:val="superscript"/>
          <w:rtl/>
        </w:rPr>
        <w:t>(</w:t>
      </w:r>
      <w:proofErr w:type="gramEnd"/>
      <w:r w:rsidRPr="008C0FB5">
        <w:rPr>
          <w:rStyle w:val="af0"/>
          <w:sz w:val="30"/>
          <w:szCs w:val="30"/>
          <w:rtl/>
        </w:rPr>
        <w:footnoteReference w:id="182"/>
      </w:r>
      <w:r w:rsidRPr="008C0FB5">
        <w:rPr>
          <w:rFonts w:hint="cs"/>
          <w:szCs w:val="30"/>
          <w:vertAlign w:val="superscript"/>
          <w:rtl/>
        </w:rPr>
        <w:t>)</w:t>
      </w:r>
      <w:r w:rsidRPr="008C0FB5">
        <w:rPr>
          <w:rFonts w:hint="cs"/>
          <w:rtl/>
        </w:rPr>
        <w:t>.</w:t>
      </w:r>
    </w:p>
    <w:p w14:paraId="34D3F782" w14:textId="77777777" w:rsidR="0094067A" w:rsidRPr="008C0FB5" w:rsidRDefault="0094067A" w:rsidP="00C35031">
      <w:pPr>
        <w:pStyle w:val="35"/>
        <w:rPr>
          <w:rFonts w:hint="cs"/>
          <w:rtl/>
        </w:rPr>
      </w:pPr>
      <w:r w:rsidRPr="008C0FB5">
        <w:rPr>
          <w:rFonts w:hint="cs"/>
          <w:rtl/>
        </w:rPr>
        <w:t>وإذا كان قصد المتحايل، مناقضاً لقصد الشارع، فليعامل بنقيض قصده ويبطل عمله ولا ينفذ.</w:t>
      </w:r>
    </w:p>
    <w:p w14:paraId="42CB13F6" w14:textId="77777777" w:rsidR="0094067A" w:rsidRPr="008C0FB5" w:rsidRDefault="0094067A" w:rsidP="00C35031">
      <w:pPr>
        <w:pStyle w:val="35"/>
        <w:rPr>
          <w:rFonts w:hint="cs"/>
          <w:rtl/>
        </w:rPr>
      </w:pPr>
      <w:r w:rsidRPr="008C0FB5">
        <w:rPr>
          <w:rFonts w:hint="cs"/>
          <w:rtl/>
        </w:rPr>
        <w:t>ومن أهم التطبيقات للحيل: لقد أوردت لنا الكتب الفقهية تطبيقات عديدة للحيل الباطلة وقد اخترنا بعضاً منها:</w:t>
      </w:r>
    </w:p>
    <w:p w14:paraId="03C9A720" w14:textId="77777777" w:rsidR="0094067A" w:rsidRPr="008C0FB5" w:rsidRDefault="0094067A" w:rsidP="00EE4C46">
      <w:pPr>
        <w:pStyle w:val="affffffd"/>
        <w:rPr>
          <w:rFonts w:hint="cs"/>
          <w:rtl/>
        </w:rPr>
      </w:pPr>
      <w:r w:rsidRPr="008C0FB5">
        <w:rPr>
          <w:rFonts w:hint="cs"/>
          <w:rtl/>
        </w:rPr>
        <w:t>التحايل على إسقاط حق الشفعة:</w:t>
      </w:r>
    </w:p>
    <w:p w14:paraId="6A1D3989" w14:textId="77777777" w:rsidR="0094067A" w:rsidRPr="008C0FB5" w:rsidRDefault="0094067A" w:rsidP="00C35031">
      <w:pPr>
        <w:pStyle w:val="48"/>
        <w:rPr>
          <w:rFonts w:hint="cs"/>
          <w:rtl/>
        </w:rPr>
      </w:pPr>
      <w:r w:rsidRPr="008C0FB5">
        <w:rPr>
          <w:rFonts w:hint="cs"/>
          <w:rtl/>
        </w:rPr>
        <w:t xml:space="preserve">من الحيل الباطلة المحرمة التحايل على إسقاط ما جعله الله حقاً للشريك على شريكه من استحقاق الشفعة دفعاً للضرر، والتحايل لإبطالها مناقض لهذا الغرض وإبطال لهذا الحكم بطريق غير </w:t>
      </w:r>
      <w:proofErr w:type="gramStart"/>
      <w:r w:rsidRPr="008C0FB5">
        <w:rPr>
          <w:rFonts w:hint="cs"/>
          <w:rtl/>
        </w:rPr>
        <w:t>مشروع</w:t>
      </w:r>
      <w:r w:rsidRPr="008C0FB5">
        <w:rPr>
          <w:rFonts w:cs="Saihat" w:hint="cs"/>
          <w:vertAlign w:val="superscript"/>
          <w:rtl/>
        </w:rPr>
        <w:t>(</w:t>
      </w:r>
      <w:proofErr w:type="gramEnd"/>
      <w:r w:rsidRPr="008C0FB5">
        <w:rPr>
          <w:rStyle w:val="af0"/>
          <w:rFonts w:cs="Saihat"/>
          <w:sz w:val="30"/>
          <w:rtl/>
        </w:rPr>
        <w:footnoteReference w:id="183"/>
      </w:r>
      <w:r w:rsidRPr="008C0FB5">
        <w:rPr>
          <w:rFonts w:cs="Saihat" w:hint="cs"/>
          <w:vertAlign w:val="superscript"/>
          <w:rtl/>
        </w:rPr>
        <w:t>)</w:t>
      </w:r>
      <w:r w:rsidRPr="008C0FB5">
        <w:rPr>
          <w:rFonts w:hint="cs"/>
          <w:rtl/>
        </w:rPr>
        <w:t>.</w:t>
      </w:r>
    </w:p>
    <w:p w14:paraId="7E351E79" w14:textId="77777777" w:rsidR="0094067A" w:rsidRPr="008C0FB5" w:rsidRDefault="0094067A" w:rsidP="00C35031">
      <w:pPr>
        <w:pStyle w:val="35"/>
        <w:rPr>
          <w:rFonts w:hint="cs"/>
          <w:rtl/>
        </w:rPr>
      </w:pPr>
      <w:r w:rsidRPr="008C0FB5">
        <w:rPr>
          <w:rFonts w:hint="cs"/>
          <w:rtl/>
        </w:rPr>
        <w:t xml:space="preserve">ومن صور هذه الحيل: أن يشتري الشخص شقصاً وهو يساوي </w:t>
      </w:r>
      <w:proofErr w:type="gramStart"/>
      <w:r w:rsidRPr="008C0FB5">
        <w:rPr>
          <w:rFonts w:hint="cs"/>
          <w:rtl/>
        </w:rPr>
        <w:t>مائة</w:t>
      </w:r>
      <w:proofErr w:type="gramEnd"/>
      <w:r w:rsidRPr="008C0FB5">
        <w:rPr>
          <w:rFonts w:hint="cs"/>
          <w:rtl/>
        </w:rPr>
        <w:t xml:space="preserve"> ثم يبرئه البائع من تسعمائة، فهذا لا يسقط الشفعة، بل يأخذه الشفيع بما بقي من الثمن بعد الإسقاط، وهو الذي يرجع به إذا استحق المبيع.</w:t>
      </w:r>
    </w:p>
    <w:p w14:paraId="56DF02C3" w14:textId="77777777" w:rsidR="0094067A" w:rsidRPr="008C0FB5" w:rsidRDefault="0094067A" w:rsidP="00C35031">
      <w:pPr>
        <w:pStyle w:val="35"/>
        <w:rPr>
          <w:rFonts w:hint="cs"/>
          <w:rtl/>
        </w:rPr>
      </w:pPr>
      <w:r w:rsidRPr="008C0FB5">
        <w:rPr>
          <w:rFonts w:hint="cs"/>
          <w:rtl/>
        </w:rPr>
        <w:t xml:space="preserve">ومن الحيل على إسقاط الشفعة أيضاً أن يشتري جزءاً من الشيء بالثمن كله ثم يهب له بقية الشيء، فهذا لا يسقطها، ويأخذ الشفيع الشيء كله بالثمن وتبطل هذه </w:t>
      </w:r>
      <w:proofErr w:type="gramStart"/>
      <w:r w:rsidRPr="008C0FB5">
        <w:rPr>
          <w:rFonts w:hint="cs"/>
          <w:rtl/>
        </w:rPr>
        <w:t>الهبة</w:t>
      </w:r>
      <w:r w:rsidRPr="008C0FB5">
        <w:rPr>
          <w:rFonts w:cs="Saihat" w:hint="cs"/>
          <w:vertAlign w:val="superscript"/>
          <w:rtl/>
        </w:rPr>
        <w:t>(</w:t>
      </w:r>
      <w:proofErr w:type="gramEnd"/>
      <w:r w:rsidRPr="008C0FB5">
        <w:rPr>
          <w:rStyle w:val="af0"/>
          <w:rFonts w:cs="Saihat"/>
          <w:sz w:val="30"/>
          <w:rtl/>
        </w:rPr>
        <w:footnoteReference w:id="184"/>
      </w:r>
      <w:r w:rsidRPr="008C0FB5">
        <w:rPr>
          <w:rFonts w:cs="Saihat" w:hint="cs"/>
          <w:vertAlign w:val="superscript"/>
          <w:rtl/>
        </w:rPr>
        <w:t>)</w:t>
      </w:r>
      <w:r w:rsidRPr="008C0FB5">
        <w:rPr>
          <w:rFonts w:hint="cs"/>
          <w:rtl/>
        </w:rPr>
        <w:t>.</w:t>
      </w:r>
    </w:p>
    <w:p w14:paraId="4479E7F4" w14:textId="77777777" w:rsidR="0094067A" w:rsidRPr="008C0FB5" w:rsidRDefault="0094067A" w:rsidP="00EE4C46">
      <w:pPr>
        <w:pStyle w:val="affffffd"/>
        <w:rPr>
          <w:rFonts w:hint="cs"/>
          <w:rtl/>
        </w:rPr>
      </w:pPr>
      <w:r w:rsidRPr="008C0FB5">
        <w:rPr>
          <w:rFonts w:hint="cs"/>
          <w:rtl/>
        </w:rPr>
        <w:t>التحايل لمحاباة بعض الورثة:</w:t>
      </w:r>
    </w:p>
    <w:p w14:paraId="13C451D0" w14:textId="77777777" w:rsidR="0094067A" w:rsidRPr="008C0FB5" w:rsidRDefault="0094067A" w:rsidP="00C35031">
      <w:pPr>
        <w:pStyle w:val="48"/>
        <w:rPr>
          <w:rFonts w:hint="cs"/>
          <w:rtl/>
        </w:rPr>
      </w:pPr>
      <w:r w:rsidRPr="008C0FB5">
        <w:rPr>
          <w:rFonts w:hint="cs"/>
          <w:rtl/>
        </w:rPr>
        <w:t>من الحيل الباطلة المحرمة إذا أراد الشخص أن يحابي وارثه في مرضه، بأن يبيع أجنبياً شفيعه وارثه شيئاً بدون ثمن، فيأخذه وارثه بالشفعة، فللورثة الآخرين حق إبطال هذا التصرف إذا تبين قصد المورث لذلك.</w:t>
      </w:r>
    </w:p>
    <w:p w14:paraId="6D8347B1" w14:textId="77777777" w:rsidR="0094067A" w:rsidRPr="008C0FB5" w:rsidRDefault="0094067A" w:rsidP="00EE4C46">
      <w:pPr>
        <w:pStyle w:val="affffffd"/>
        <w:rPr>
          <w:rFonts w:hint="cs"/>
          <w:rtl/>
        </w:rPr>
      </w:pPr>
      <w:r w:rsidRPr="008C0FB5">
        <w:rPr>
          <w:rFonts w:hint="cs"/>
          <w:rtl/>
        </w:rPr>
        <w:t>التحايل على إيجار الوقف لمدة طويلة:</w:t>
      </w:r>
    </w:p>
    <w:p w14:paraId="606234CE" w14:textId="77777777" w:rsidR="0094067A" w:rsidRPr="008C0FB5" w:rsidRDefault="0094067A" w:rsidP="00C35031">
      <w:pPr>
        <w:pStyle w:val="48"/>
        <w:rPr>
          <w:rFonts w:hint="cs"/>
          <w:rtl/>
        </w:rPr>
      </w:pPr>
      <w:r w:rsidRPr="008C0FB5">
        <w:rPr>
          <w:rFonts w:hint="cs"/>
          <w:rtl/>
        </w:rPr>
        <w:t xml:space="preserve">من الحيل الباطلة التحايل على إيجار الوقف مائة سنة مثلاً وقد شرط الواقف ألا يؤجر أكثر من </w:t>
      </w:r>
      <w:r w:rsidRPr="008C0FB5">
        <w:rPr>
          <w:rFonts w:hint="cs"/>
          <w:rtl/>
        </w:rPr>
        <w:lastRenderedPageBreak/>
        <w:t xml:space="preserve">سنتين أو ثلاثة فيؤجره لمدة طويلة في عقود متفرقة في مجلس واحد فهذه الحيلة باطلة قطعاً لأنها تخالف شرط </w:t>
      </w:r>
      <w:proofErr w:type="gramStart"/>
      <w:r w:rsidRPr="008C0FB5">
        <w:rPr>
          <w:rFonts w:hint="cs"/>
          <w:rtl/>
        </w:rPr>
        <w:t>الوقف</w:t>
      </w:r>
      <w:r w:rsidRPr="008C0FB5">
        <w:rPr>
          <w:rFonts w:cs="Saihat" w:hint="cs"/>
          <w:vertAlign w:val="superscript"/>
          <w:rtl/>
        </w:rPr>
        <w:t>(</w:t>
      </w:r>
      <w:proofErr w:type="gramEnd"/>
      <w:r w:rsidRPr="008C0FB5">
        <w:rPr>
          <w:rStyle w:val="af0"/>
          <w:rFonts w:cs="Saihat"/>
          <w:sz w:val="30"/>
          <w:rtl/>
        </w:rPr>
        <w:footnoteReference w:id="185"/>
      </w:r>
      <w:r w:rsidRPr="008C0FB5">
        <w:rPr>
          <w:rFonts w:cs="Saihat" w:hint="cs"/>
          <w:vertAlign w:val="superscript"/>
          <w:rtl/>
        </w:rPr>
        <w:t>)</w:t>
      </w:r>
      <w:r w:rsidRPr="008C0FB5">
        <w:rPr>
          <w:rFonts w:hint="cs"/>
          <w:rtl/>
        </w:rPr>
        <w:t>.</w:t>
      </w:r>
    </w:p>
    <w:p w14:paraId="3290A511" w14:textId="77777777" w:rsidR="0094067A" w:rsidRPr="008C0FB5" w:rsidRDefault="0094067A" w:rsidP="00C35031">
      <w:pPr>
        <w:pStyle w:val="35"/>
        <w:rPr>
          <w:rFonts w:hint="cs"/>
          <w:rtl/>
        </w:rPr>
      </w:pPr>
      <w:r w:rsidRPr="008C0FB5">
        <w:rPr>
          <w:rFonts w:hint="cs"/>
          <w:rtl/>
        </w:rPr>
        <w:t>وعلى العموم فان الواضح من آراء العلماء ان حكم الحيلة يختلف باختلاف الغاية التي تؤول إليه، فتكون جائزة إذا قصد بها التوصل إلى ما يجوز فعله ودفع المكروه بها عن النفس وعن الغير، وتكون محرمة إذا قصد بها التهرب من فرائض الله والتخلص مما أوجبه على الإنسان أو الحصول على كسب غير مشروع وهذه لا يقبلها ذو قلب سليم ولا يقرها مسلم عاقل، لأن فراض الله إنما فرضت لتؤدي مقاصد الشرع والواجبات إنما شرعت لتقام على وجه الأرض لا لتكون طريقاً للتلاعب في الأحكام.</w:t>
      </w:r>
    </w:p>
    <w:p w14:paraId="72195C08" w14:textId="77777777" w:rsidR="0094067A" w:rsidRPr="008C0FB5" w:rsidRDefault="0094067A" w:rsidP="00C253D0">
      <w:pPr>
        <w:pStyle w:val="af8"/>
        <w:rPr>
          <w:rFonts w:hint="cs"/>
          <w:rtl/>
          <w:lang w:bidi="ar-IQ"/>
        </w:rPr>
      </w:pPr>
      <w:bookmarkStart w:id="73" w:name="_Toc8643665"/>
      <w:r w:rsidRPr="008C0FB5">
        <w:rPr>
          <w:rFonts w:hint="cs"/>
          <w:rtl/>
          <w:lang w:bidi="ar-IQ"/>
        </w:rPr>
        <w:t>الفرع الثاني: قاعدة الأمور بمقاصدها</w:t>
      </w:r>
      <w:bookmarkEnd w:id="73"/>
    </w:p>
    <w:p w14:paraId="51EC9D76" w14:textId="77777777" w:rsidR="0094067A" w:rsidRPr="008C0FB5" w:rsidRDefault="0094067A" w:rsidP="00C35031">
      <w:pPr>
        <w:pStyle w:val="48"/>
        <w:rPr>
          <w:rFonts w:hint="cs"/>
          <w:rtl/>
        </w:rPr>
      </w:pPr>
      <w:r w:rsidRPr="008C0FB5">
        <w:rPr>
          <w:rFonts w:hint="cs"/>
          <w:rtl/>
        </w:rPr>
        <w:t xml:space="preserve">معنى هذه القاعدة: إن الأعمال مرتبطة بالنيات ومعتبرة بها، فالنية هي الميزان الذي توزن به الأعمال وسائر التصرفات، وهي المرجع في الحكم على الأعمال من الحل والحرمة، والصحة والفساد، ويقول ابن قيم الجوزية في ذلك: </w:t>
      </w:r>
    </w:p>
    <w:p w14:paraId="7D6189C3" w14:textId="77777777" w:rsidR="0094067A" w:rsidRPr="008C0FB5" w:rsidRDefault="0094067A" w:rsidP="00A613BA">
      <w:pPr>
        <w:pStyle w:val="afffffff1"/>
        <w:rPr>
          <w:rFonts w:hint="cs"/>
          <w:rtl/>
        </w:rPr>
      </w:pPr>
      <w:r w:rsidRPr="008C0FB5">
        <w:rPr>
          <w:rFonts w:hint="cs"/>
          <w:rtl/>
        </w:rPr>
        <w:t>وقاعدة الشريعة التي لا يجوز هدمها، ان المقاصد والاعتقادات، معتبرة في التصرفات، والعبارات كما هي معتبرة في التقربات والعبادات، فالقصد والنية يجعل الشيء جلالاً أو حراماً أو صحيحاً أو فاسداً، أو طاعة أو معصية وكما ان القصد في العبادات يجعلها واجبة أو مستحبة أو محرمة أو صحيحة أو فاسدة</w:t>
      </w:r>
      <w:proofErr w:type="gramStart"/>
      <w:r w:rsidRPr="008C0FB5">
        <w:rPr>
          <w:rFonts w:hint="cs"/>
          <w:rtl/>
        </w:rPr>
        <w:t>...</w:t>
      </w:r>
      <w:r w:rsidRPr="008C0FB5">
        <w:rPr>
          <w:rFonts w:hint="cs"/>
          <w:szCs w:val="30"/>
          <w:vertAlign w:val="superscript"/>
          <w:rtl/>
        </w:rPr>
        <w:t>(</w:t>
      </w:r>
      <w:proofErr w:type="gramEnd"/>
      <w:r w:rsidRPr="008C0FB5">
        <w:rPr>
          <w:rStyle w:val="af0"/>
          <w:sz w:val="30"/>
          <w:szCs w:val="30"/>
          <w:rtl/>
        </w:rPr>
        <w:footnoteReference w:id="186"/>
      </w:r>
      <w:r w:rsidRPr="008C0FB5">
        <w:rPr>
          <w:rFonts w:hint="cs"/>
          <w:szCs w:val="30"/>
          <w:vertAlign w:val="superscript"/>
          <w:rtl/>
        </w:rPr>
        <w:t>)</w:t>
      </w:r>
      <w:r w:rsidRPr="008C0FB5">
        <w:rPr>
          <w:rFonts w:hint="cs"/>
          <w:rtl/>
        </w:rPr>
        <w:t>.</w:t>
      </w:r>
    </w:p>
    <w:p w14:paraId="21EEEC23" w14:textId="77777777" w:rsidR="0094067A" w:rsidRPr="008C0FB5" w:rsidRDefault="0094067A" w:rsidP="00C35031">
      <w:pPr>
        <w:pStyle w:val="35"/>
        <w:rPr>
          <w:rFonts w:hint="cs"/>
          <w:rtl/>
        </w:rPr>
      </w:pPr>
      <w:r w:rsidRPr="008C0FB5">
        <w:rPr>
          <w:rFonts w:hint="cs"/>
          <w:rtl/>
        </w:rPr>
        <w:t>والأصل في هذه القاعدة قول الرسول</w:t>
      </w:r>
      <w:r w:rsidR="003E1E9A" w:rsidRPr="008C0FB5">
        <w:rPr>
          <w:rFonts w:hint="cs"/>
        </w:rPr>
        <w:t></w:t>
      </w:r>
      <w:r w:rsidRPr="008C0FB5">
        <w:rPr>
          <w:rFonts w:hint="cs"/>
          <w:rtl/>
        </w:rPr>
        <w:t xml:space="preserve">: </w:t>
      </w:r>
    </w:p>
    <w:p w14:paraId="65E5BC93" w14:textId="77777777" w:rsidR="0094067A" w:rsidRPr="008C0FB5" w:rsidRDefault="0094067A" w:rsidP="00A613BA">
      <w:pPr>
        <w:pStyle w:val="afffffff1"/>
        <w:rPr>
          <w:rFonts w:hint="cs"/>
          <w:rtl/>
        </w:rPr>
      </w:pPr>
      <w:r w:rsidRPr="008C0FB5">
        <w:rPr>
          <w:rFonts w:hint="cs"/>
          <w:rtl/>
        </w:rPr>
        <w:t>إنما الأعمال بالنيات وإنما لكل امرئ ما نوى</w:t>
      </w:r>
      <w:r w:rsidR="00A613BA" w:rsidRPr="008C0FB5">
        <w:rPr>
          <w:rFonts w:hint="cs"/>
          <w:rtl/>
        </w:rPr>
        <w:t>.</w:t>
      </w:r>
    </w:p>
    <w:p w14:paraId="398046A5" w14:textId="77777777" w:rsidR="0094067A" w:rsidRPr="008C0FB5" w:rsidRDefault="0094067A" w:rsidP="00C35031">
      <w:pPr>
        <w:pStyle w:val="35"/>
        <w:rPr>
          <w:rFonts w:hint="cs"/>
          <w:rtl/>
        </w:rPr>
      </w:pPr>
      <w:r w:rsidRPr="008C0FB5">
        <w:rPr>
          <w:rFonts w:hint="cs"/>
          <w:rtl/>
        </w:rPr>
        <w:t>وقد قيل في هذا الحديث انه يحتمل وجهين في المعنى:</w:t>
      </w:r>
    </w:p>
    <w:p w14:paraId="0922E95C" w14:textId="77777777" w:rsidR="0094067A" w:rsidRPr="008C0FB5" w:rsidRDefault="0094067A" w:rsidP="00C35031">
      <w:pPr>
        <w:pStyle w:val="35"/>
        <w:rPr>
          <w:rFonts w:hint="cs"/>
          <w:rtl/>
        </w:rPr>
      </w:pPr>
      <w:r w:rsidRPr="008C0FB5">
        <w:rPr>
          <w:rFonts w:hint="cs"/>
          <w:rtl/>
        </w:rPr>
        <w:t xml:space="preserve">فحسب الوجه الأول: </w:t>
      </w:r>
    </w:p>
    <w:p w14:paraId="1B5F117E" w14:textId="77777777" w:rsidR="0094067A" w:rsidRPr="008C0FB5" w:rsidRDefault="0094067A" w:rsidP="00A613BA">
      <w:pPr>
        <w:pStyle w:val="afffffff1"/>
        <w:rPr>
          <w:rFonts w:hint="cs"/>
          <w:rtl/>
        </w:rPr>
      </w:pPr>
      <w:r w:rsidRPr="008C0FB5">
        <w:rPr>
          <w:rFonts w:hint="cs"/>
          <w:rtl/>
        </w:rPr>
        <w:t>إن الأعمال واقعة بالنيات فالحديث يخبرنا ان الأعمال لا تحدث إلا بنية تدفع إلى إيجادها، وقوله</w:t>
      </w:r>
      <w:r w:rsidR="003E1E9A" w:rsidRPr="008C0FB5">
        <w:rPr>
          <w:rFonts w:ascii="Abo-thar" w:hAnsi="Abo-thar" w:hint="cs"/>
        </w:rPr>
        <w:t></w:t>
      </w:r>
      <w:r w:rsidRPr="008C0FB5">
        <w:rPr>
          <w:rFonts w:hint="cs"/>
          <w:rtl/>
        </w:rPr>
        <w:t xml:space="preserve">: (إنما لكل لمرئ ما نوى) إخبار عن حكم الشرع وهو ان العامل يناله ثواب أو عقاب على ضوء نيته صلاحاً أو </w:t>
      </w:r>
      <w:proofErr w:type="gramStart"/>
      <w:r w:rsidRPr="008C0FB5">
        <w:rPr>
          <w:rFonts w:hint="cs"/>
          <w:rtl/>
        </w:rPr>
        <w:t>فساداً</w:t>
      </w:r>
      <w:r w:rsidRPr="008C0FB5">
        <w:rPr>
          <w:rFonts w:hint="cs"/>
          <w:szCs w:val="30"/>
          <w:vertAlign w:val="superscript"/>
          <w:rtl/>
        </w:rPr>
        <w:t>(</w:t>
      </w:r>
      <w:proofErr w:type="gramEnd"/>
      <w:r w:rsidRPr="008C0FB5">
        <w:rPr>
          <w:rStyle w:val="af0"/>
          <w:sz w:val="30"/>
          <w:szCs w:val="30"/>
          <w:rtl/>
        </w:rPr>
        <w:footnoteReference w:id="187"/>
      </w:r>
      <w:r w:rsidRPr="008C0FB5">
        <w:rPr>
          <w:rFonts w:hint="cs"/>
          <w:szCs w:val="30"/>
          <w:vertAlign w:val="superscript"/>
          <w:rtl/>
        </w:rPr>
        <w:t>)</w:t>
      </w:r>
      <w:r w:rsidRPr="008C0FB5">
        <w:rPr>
          <w:rFonts w:hint="cs"/>
          <w:rtl/>
        </w:rPr>
        <w:t>.</w:t>
      </w:r>
    </w:p>
    <w:p w14:paraId="292EC28D" w14:textId="77777777" w:rsidR="0094067A" w:rsidRPr="008C0FB5" w:rsidRDefault="0094067A" w:rsidP="00C35031">
      <w:pPr>
        <w:pStyle w:val="35"/>
        <w:rPr>
          <w:rFonts w:hint="cs"/>
          <w:rtl/>
        </w:rPr>
      </w:pPr>
      <w:r w:rsidRPr="008C0FB5">
        <w:rPr>
          <w:rFonts w:hint="cs"/>
          <w:rtl/>
        </w:rPr>
        <w:t xml:space="preserve">وبالنسبة للوجه الثاني: إن الأعمال صالحة أو فاسدة، أو مقبولة أو مردودة ومثاب عليها أو غير مثاب عليها بالنيات، فيكون خبراً عن الحكم الشرعي وهو ان صلاحها وفسادها </w:t>
      </w:r>
      <w:r w:rsidR="00A613BA" w:rsidRPr="008C0FB5">
        <w:rPr>
          <w:rFonts w:hint="cs"/>
          <w:rtl/>
        </w:rPr>
        <w:t>بحسب صلاح النية أو فسادها كقوله</w:t>
      </w:r>
      <w:r w:rsidR="003E1E9A" w:rsidRPr="008C0FB5">
        <w:rPr>
          <w:rFonts w:hint="cs"/>
        </w:rPr>
        <w:t></w:t>
      </w:r>
      <w:r w:rsidRPr="008C0FB5">
        <w:rPr>
          <w:rFonts w:hint="cs"/>
          <w:rtl/>
        </w:rPr>
        <w:t xml:space="preserve">: (إنما الأعمال بالخواتم) أي ان صلاحها وفسادها وقبولها وعدمها بحسب </w:t>
      </w:r>
      <w:proofErr w:type="gramStart"/>
      <w:r w:rsidRPr="008C0FB5">
        <w:rPr>
          <w:rFonts w:hint="cs"/>
          <w:rtl/>
        </w:rPr>
        <w:t>الخاتمة</w:t>
      </w:r>
      <w:r w:rsidRPr="008C0FB5">
        <w:rPr>
          <w:rFonts w:cs="Saihat" w:hint="cs"/>
          <w:vertAlign w:val="superscript"/>
          <w:rtl/>
        </w:rPr>
        <w:t>(</w:t>
      </w:r>
      <w:proofErr w:type="gramEnd"/>
      <w:r w:rsidRPr="008C0FB5">
        <w:rPr>
          <w:rStyle w:val="af0"/>
          <w:rFonts w:cs="Saihat"/>
          <w:sz w:val="30"/>
          <w:rtl/>
        </w:rPr>
        <w:footnoteReference w:id="188"/>
      </w:r>
      <w:r w:rsidRPr="008C0FB5">
        <w:rPr>
          <w:rFonts w:cs="Saihat" w:hint="cs"/>
          <w:vertAlign w:val="superscript"/>
          <w:rtl/>
        </w:rPr>
        <w:t>)</w:t>
      </w:r>
      <w:r w:rsidRPr="008C0FB5">
        <w:rPr>
          <w:rFonts w:hint="cs"/>
          <w:rtl/>
        </w:rPr>
        <w:t>.</w:t>
      </w:r>
    </w:p>
    <w:p w14:paraId="01EA6269" w14:textId="77777777" w:rsidR="0094067A" w:rsidRPr="008C0FB5" w:rsidRDefault="0094067A" w:rsidP="00C35031">
      <w:pPr>
        <w:pStyle w:val="35"/>
        <w:rPr>
          <w:rFonts w:hint="cs"/>
          <w:rtl/>
        </w:rPr>
      </w:pPr>
      <w:r w:rsidRPr="008C0FB5">
        <w:rPr>
          <w:rFonts w:hint="cs"/>
          <w:rtl/>
        </w:rPr>
        <w:t>ويقول ابن رجب وقد استدل بقوله</w:t>
      </w:r>
      <w:r w:rsidR="00A613BA" w:rsidRPr="008C0FB5">
        <w:rPr>
          <w:rFonts w:hint="cs"/>
        </w:rPr>
        <w:t></w:t>
      </w:r>
      <w:r w:rsidRPr="008C0FB5">
        <w:rPr>
          <w:rFonts w:hint="cs"/>
          <w:rtl/>
        </w:rPr>
        <w:t xml:space="preserve">: </w:t>
      </w:r>
    </w:p>
    <w:p w14:paraId="17CDF8B0" w14:textId="77777777" w:rsidR="0094067A" w:rsidRPr="008C0FB5" w:rsidRDefault="0094067A" w:rsidP="00A613BA">
      <w:pPr>
        <w:pStyle w:val="afffffff1"/>
        <w:rPr>
          <w:rFonts w:hint="cs"/>
          <w:rtl/>
        </w:rPr>
      </w:pPr>
      <w:r w:rsidRPr="008C0FB5">
        <w:rPr>
          <w:rFonts w:hint="cs"/>
          <w:rtl/>
        </w:rPr>
        <w:lastRenderedPageBreak/>
        <w:t>إنما الأعمال بالنيات وإنما لكل امرئ ما نوى</w:t>
      </w:r>
    </w:p>
    <w:p w14:paraId="53CA47AA" w14:textId="77777777" w:rsidR="0094067A" w:rsidRPr="008C0FB5" w:rsidRDefault="0094067A" w:rsidP="00C35031">
      <w:pPr>
        <w:pStyle w:val="35"/>
        <w:rPr>
          <w:rFonts w:hint="cs"/>
          <w:rtl/>
        </w:rPr>
      </w:pPr>
      <w:r w:rsidRPr="008C0FB5">
        <w:rPr>
          <w:rFonts w:hint="cs"/>
          <w:rtl/>
        </w:rPr>
        <w:t xml:space="preserve">على ان العقود التي يقصد بها في الباطن التوصل إلى ما هو محرم غير صحيحة، كعود البيع التي يقصد بها معنى الربا ونحوها، كما هو مذهب الإمام مالك وأحمد وغيرهما فان هذا العقد إنما نوى به الربا لا </w:t>
      </w:r>
      <w:proofErr w:type="gramStart"/>
      <w:r w:rsidRPr="008C0FB5">
        <w:rPr>
          <w:rFonts w:hint="cs"/>
          <w:rtl/>
        </w:rPr>
        <w:t>البيع</w:t>
      </w:r>
      <w:r w:rsidRPr="008C0FB5">
        <w:rPr>
          <w:rFonts w:cs="Saihat" w:hint="cs"/>
          <w:vertAlign w:val="superscript"/>
          <w:rtl/>
        </w:rPr>
        <w:t>(</w:t>
      </w:r>
      <w:proofErr w:type="gramEnd"/>
      <w:r w:rsidRPr="008C0FB5">
        <w:rPr>
          <w:rStyle w:val="af0"/>
          <w:rFonts w:cs="Saihat"/>
          <w:sz w:val="30"/>
          <w:rtl/>
        </w:rPr>
        <w:footnoteReference w:id="189"/>
      </w:r>
      <w:r w:rsidRPr="008C0FB5">
        <w:rPr>
          <w:rFonts w:cs="Saihat" w:hint="cs"/>
          <w:vertAlign w:val="superscript"/>
          <w:rtl/>
        </w:rPr>
        <w:t>)</w:t>
      </w:r>
      <w:r w:rsidRPr="008C0FB5">
        <w:rPr>
          <w:rFonts w:hint="cs"/>
          <w:rtl/>
        </w:rPr>
        <w:t>.</w:t>
      </w:r>
    </w:p>
    <w:p w14:paraId="122C196E" w14:textId="77777777" w:rsidR="0094067A" w:rsidRPr="008C0FB5" w:rsidRDefault="0094067A" w:rsidP="00C35031">
      <w:pPr>
        <w:pStyle w:val="35"/>
        <w:rPr>
          <w:rFonts w:hint="cs"/>
          <w:rtl/>
        </w:rPr>
      </w:pPr>
      <w:r w:rsidRPr="008C0FB5">
        <w:rPr>
          <w:rFonts w:hint="cs"/>
          <w:rtl/>
        </w:rPr>
        <w:t xml:space="preserve">ويقول ابن القيم: </w:t>
      </w:r>
    </w:p>
    <w:p w14:paraId="40D84E2D" w14:textId="77777777" w:rsidR="0094067A" w:rsidRPr="008C0FB5" w:rsidRDefault="0094067A" w:rsidP="00A613BA">
      <w:pPr>
        <w:pStyle w:val="afffffff1"/>
        <w:rPr>
          <w:rFonts w:hint="cs"/>
          <w:rtl/>
        </w:rPr>
      </w:pPr>
      <w:r w:rsidRPr="008C0FB5">
        <w:rPr>
          <w:rFonts w:hint="cs"/>
          <w:rtl/>
        </w:rPr>
        <w:t xml:space="preserve">إن القصد روح العقد، ومصححه ومبطله، فاعتبار القصود في العقود أولى من اعتبار الألفاظ فان الألفاظ مقصودة لغيرها، ومقاصد العقود هي التي تراد لأجلها، فإن ألغيت واعتبرت الألفاظ التي لا تراد لنفسها كان هذا إلغاء لما يجب اعتباره واعتباراً لما يسوغ </w:t>
      </w:r>
      <w:proofErr w:type="gramStart"/>
      <w:r w:rsidRPr="008C0FB5">
        <w:rPr>
          <w:rFonts w:hint="cs"/>
          <w:rtl/>
        </w:rPr>
        <w:t>إلغاءه</w:t>
      </w:r>
      <w:r w:rsidRPr="008C0FB5">
        <w:rPr>
          <w:rFonts w:hint="cs"/>
          <w:szCs w:val="30"/>
          <w:vertAlign w:val="superscript"/>
          <w:rtl/>
        </w:rPr>
        <w:t>(</w:t>
      </w:r>
      <w:proofErr w:type="gramEnd"/>
      <w:r w:rsidRPr="008C0FB5">
        <w:rPr>
          <w:rStyle w:val="af0"/>
          <w:sz w:val="30"/>
          <w:szCs w:val="30"/>
          <w:rtl/>
        </w:rPr>
        <w:footnoteReference w:id="190"/>
      </w:r>
      <w:r w:rsidRPr="008C0FB5">
        <w:rPr>
          <w:rFonts w:hint="cs"/>
          <w:szCs w:val="30"/>
          <w:vertAlign w:val="superscript"/>
          <w:rtl/>
        </w:rPr>
        <w:t>)</w:t>
      </w:r>
    </w:p>
    <w:p w14:paraId="453BFD8C" w14:textId="77777777" w:rsidR="0094067A" w:rsidRPr="008C0FB5" w:rsidRDefault="0094067A" w:rsidP="00C35031">
      <w:pPr>
        <w:pStyle w:val="35"/>
        <w:rPr>
          <w:rFonts w:hint="cs"/>
          <w:rtl/>
        </w:rPr>
      </w:pPr>
      <w:r w:rsidRPr="008C0FB5">
        <w:rPr>
          <w:rFonts w:hint="cs"/>
          <w:rtl/>
        </w:rPr>
        <w:t xml:space="preserve">هذا وقد نصت على هذه القاعدة (قاعدة الأمور بمقاصدها) مجلة الأحكام العدلية في المادة الثانية منها (الأمور بمقاصدها) يعني ان الحكم الذي يترتب على أمر يكون على مقتضى ما هو المقصود من ذلك الأمر وقد ورد شرح لهذه المادة كما يلي: </w:t>
      </w:r>
    </w:p>
    <w:p w14:paraId="297ABE99" w14:textId="77777777" w:rsidR="0094067A" w:rsidRPr="008C0FB5" w:rsidRDefault="0094067A" w:rsidP="00A613BA">
      <w:pPr>
        <w:pStyle w:val="afffffff1"/>
        <w:rPr>
          <w:rFonts w:hint="cs"/>
          <w:rtl/>
        </w:rPr>
      </w:pPr>
      <w:r w:rsidRPr="008C0FB5">
        <w:rPr>
          <w:rFonts w:hint="cs"/>
          <w:rtl/>
        </w:rPr>
        <w:t xml:space="preserve">إن الصور الحسية التي توجد في الخارج لأي أمر من الأمور، لا تأخذ حكمها شرعياً بالاستناد إلى محسوسياتها فقط، بل الانضمام للمقصود والغرض الذي هو الحامل </w:t>
      </w:r>
      <w:r w:rsidRPr="008C0FB5">
        <w:rPr>
          <w:rFonts w:ascii="Times New Roman" w:hAnsi="Times New Roman" w:cs="Times New Roman" w:hint="cs"/>
          <w:rtl/>
        </w:rPr>
        <w:t>–</w:t>
      </w:r>
      <w:r w:rsidRPr="008C0FB5">
        <w:rPr>
          <w:rFonts w:hint="cs"/>
          <w:rtl/>
        </w:rPr>
        <w:t xml:space="preserve"> الباعث </w:t>
      </w:r>
      <w:r w:rsidRPr="008C0FB5">
        <w:rPr>
          <w:rFonts w:ascii="Times New Roman" w:hAnsi="Times New Roman" w:cs="Times New Roman" w:hint="cs"/>
          <w:rtl/>
        </w:rPr>
        <w:t>–</w:t>
      </w:r>
      <w:r w:rsidRPr="008C0FB5">
        <w:rPr>
          <w:rFonts w:hint="cs"/>
          <w:rtl/>
        </w:rPr>
        <w:t xml:space="preserve"> على إيقاع تلك الصور </w:t>
      </w:r>
      <w:proofErr w:type="gramStart"/>
      <w:r w:rsidRPr="008C0FB5">
        <w:rPr>
          <w:rFonts w:hint="cs"/>
          <w:rtl/>
        </w:rPr>
        <w:t>وإحداثها</w:t>
      </w:r>
      <w:r w:rsidRPr="008C0FB5">
        <w:rPr>
          <w:rFonts w:hint="cs"/>
          <w:szCs w:val="30"/>
          <w:vertAlign w:val="superscript"/>
          <w:rtl/>
        </w:rPr>
        <w:t>(</w:t>
      </w:r>
      <w:proofErr w:type="gramEnd"/>
      <w:r w:rsidRPr="008C0FB5">
        <w:rPr>
          <w:rStyle w:val="af0"/>
          <w:sz w:val="30"/>
          <w:szCs w:val="30"/>
          <w:rtl/>
        </w:rPr>
        <w:footnoteReference w:id="191"/>
      </w:r>
      <w:r w:rsidRPr="008C0FB5">
        <w:rPr>
          <w:rFonts w:hint="cs"/>
          <w:szCs w:val="30"/>
          <w:vertAlign w:val="superscript"/>
          <w:rtl/>
        </w:rPr>
        <w:t>)</w:t>
      </w:r>
      <w:r w:rsidRPr="008C0FB5">
        <w:rPr>
          <w:rFonts w:hint="cs"/>
          <w:rtl/>
        </w:rPr>
        <w:t>.</w:t>
      </w:r>
    </w:p>
    <w:p w14:paraId="64EECC25" w14:textId="77777777" w:rsidR="0094067A" w:rsidRPr="008C0FB5" w:rsidRDefault="0094067A" w:rsidP="00C35031">
      <w:pPr>
        <w:pStyle w:val="35"/>
        <w:rPr>
          <w:rFonts w:hint="cs"/>
          <w:rtl/>
        </w:rPr>
      </w:pPr>
      <w:r w:rsidRPr="008C0FB5">
        <w:rPr>
          <w:rFonts w:hint="cs"/>
          <w:rtl/>
        </w:rPr>
        <w:t>وهذه القاعدة من أهم القواعد وأعظمها جذوراً في الفقه الإسلامي، فقد أولاها الفقهاء عناية بالغة باعتبار النية روح العمل ولبه وقوامه، والذي توخاه الفقهاء في وذع هذه القاعدة هو بيان ان تصرفات الإنسان تختلف أحكامها ونتائجها باختلاف مقصود الإنسان من تلك التصرفات والأعمال وبذلك نجد ان القاعدة تمثل مواضع واسعة ليس من الميسور الإحاطة بها ولا بأس أن نذكر شيئاً منها على سبيل المثال لا الحصر من ذلك أبواب العبادات برمتها لأن النية هي المعيار والأساس في صحتها. وكذلك في أبواب المعاملات فيما يتعلق بفصل الحكم بين المتداعين والمتخاصمين وإقامة الحدود على الحياة وسائر ما يتعاطاه القضاة وأولياء الأمور والنكاح إذا قصد به الإعفاف أو الرغبة في الذرية الصالحة كان العقد صحيحاً أما إذا قصد به التحليل فهو باطل وغيرها.</w:t>
      </w:r>
    </w:p>
    <w:p w14:paraId="381A9C1B" w14:textId="77777777" w:rsidR="0094067A" w:rsidRPr="008C0FB5" w:rsidRDefault="00921573" w:rsidP="00C253D0">
      <w:pPr>
        <w:pStyle w:val="a0"/>
        <w:rPr>
          <w:rFonts w:hint="cs"/>
          <w:rtl/>
        </w:rPr>
      </w:pPr>
      <w:r w:rsidRPr="008C0FB5">
        <w:rPr>
          <w:rtl/>
        </w:rPr>
        <w:br w:type="page"/>
      </w:r>
      <w:bookmarkStart w:id="74" w:name="_Toc8643666"/>
      <w:r w:rsidR="0094067A" w:rsidRPr="008C0FB5">
        <w:rPr>
          <w:rFonts w:hint="cs"/>
          <w:rtl/>
        </w:rPr>
        <w:lastRenderedPageBreak/>
        <w:t>المبحث الثاني: نظرية الباعث في المذاهب الفقهية المختلفة</w:t>
      </w:r>
      <w:bookmarkEnd w:id="74"/>
    </w:p>
    <w:p w14:paraId="6FE38A87" w14:textId="77777777" w:rsidR="0094067A" w:rsidRPr="008C0FB5" w:rsidRDefault="0094067A" w:rsidP="00C35031">
      <w:pPr>
        <w:pStyle w:val="48"/>
        <w:rPr>
          <w:rFonts w:hint="cs"/>
          <w:rtl/>
        </w:rPr>
      </w:pPr>
      <w:r w:rsidRPr="008C0FB5">
        <w:rPr>
          <w:rFonts w:hint="cs"/>
          <w:rtl/>
        </w:rPr>
        <w:t>والآن وبعد أن عرفنا أدلة نظرية الباعث في الفقه الإسلامي، السؤال الذي يطرح هنا هل هو يهدم الباعث غير المشروع العقد في الفقه الإسلامي بدون قيد ولا شرط أم ان ثمة شروطاً يجب توافرها، لكي يقيد هذا السبب التصرف الذي قام عليه؟</w:t>
      </w:r>
    </w:p>
    <w:p w14:paraId="07464B44" w14:textId="77777777" w:rsidR="0094067A" w:rsidRPr="008C0FB5" w:rsidRDefault="0094067A" w:rsidP="00C35031">
      <w:pPr>
        <w:pStyle w:val="35"/>
        <w:rPr>
          <w:rFonts w:hint="cs"/>
          <w:rtl/>
        </w:rPr>
      </w:pPr>
      <w:r w:rsidRPr="008C0FB5">
        <w:rPr>
          <w:rFonts w:hint="cs"/>
          <w:rtl/>
        </w:rPr>
        <w:t xml:space="preserve">الواقع ان ثمة شرطين لإعمال هذا الباعث: شرط متفق عليه، وشرط مختلف فيه. </w:t>
      </w:r>
    </w:p>
    <w:p w14:paraId="2EC22AAC" w14:textId="77777777" w:rsidR="0094067A" w:rsidRPr="008C0FB5" w:rsidRDefault="0094067A" w:rsidP="00C35031">
      <w:pPr>
        <w:pStyle w:val="35"/>
        <w:rPr>
          <w:rFonts w:hint="cs"/>
          <w:rtl/>
        </w:rPr>
      </w:pPr>
      <w:r w:rsidRPr="008C0FB5">
        <w:rPr>
          <w:rFonts w:hint="cs"/>
          <w:rtl/>
        </w:rPr>
        <w:t>أما الشرط المتفق عليه، فهو علم العاقد الآخر بالباعث الذي حدا بالطرف الآخر إلى التعاقد. فليس ثمة أحد في المذاهب الإسلامية من يجعل الباعث غير المشروع سبباً لهدم التصرف إذا جهله العاقد الآخر، ولعل مرد ذلك نزعة الفقه الإسلامي نحو استقرار التعامل.</w:t>
      </w:r>
    </w:p>
    <w:p w14:paraId="69EBE073" w14:textId="77777777" w:rsidR="0094067A" w:rsidRPr="008C0FB5" w:rsidRDefault="0094067A" w:rsidP="00C35031">
      <w:pPr>
        <w:pStyle w:val="35"/>
        <w:rPr>
          <w:rFonts w:hint="cs"/>
          <w:rtl/>
        </w:rPr>
      </w:pPr>
      <w:r w:rsidRPr="008C0FB5">
        <w:rPr>
          <w:rFonts w:hint="cs"/>
          <w:rtl/>
        </w:rPr>
        <w:t>أما الشرط المختلف فيه فهو ظهور هذا الباعث في صلب العقد باعتباره جزءاً من التعبير عن الإرادة:</w:t>
      </w:r>
    </w:p>
    <w:p w14:paraId="190E7F0F" w14:textId="77777777" w:rsidR="0094067A" w:rsidRPr="008C0FB5" w:rsidRDefault="0094067A" w:rsidP="007A1F34">
      <w:pPr>
        <w:pStyle w:val="48"/>
        <w:numPr>
          <w:ilvl w:val="0"/>
          <w:numId w:val="27"/>
        </w:numPr>
        <w:rPr>
          <w:rFonts w:hint="cs"/>
          <w:rtl/>
        </w:rPr>
      </w:pPr>
      <w:r w:rsidRPr="008C0FB5">
        <w:rPr>
          <w:rFonts w:hint="cs"/>
          <w:rtl/>
        </w:rPr>
        <w:t>فمن الفقهاء: وهم أنصار النظرية الموضوعية من ذهب إلى ضرورة ظهور هذا السبب في الإرادة الظاهرة نفسها، واشترط دخوله في دائرة التعاقد، بحيث لا ينظر إليه القاضي إذا ظل متوارياً عنها.</w:t>
      </w:r>
    </w:p>
    <w:p w14:paraId="5C2D2FC6" w14:textId="77777777" w:rsidR="0094067A" w:rsidRPr="008C0FB5" w:rsidRDefault="0094067A" w:rsidP="007A1F34">
      <w:pPr>
        <w:pStyle w:val="48"/>
        <w:numPr>
          <w:ilvl w:val="0"/>
          <w:numId w:val="27"/>
        </w:numPr>
        <w:rPr>
          <w:rFonts w:hint="cs"/>
          <w:rtl/>
        </w:rPr>
      </w:pPr>
      <w:r w:rsidRPr="008C0FB5">
        <w:rPr>
          <w:rFonts w:hint="cs"/>
          <w:rtl/>
        </w:rPr>
        <w:t>ومن الفقهاء: وهم أنصار النظرية الذاتية من لم يشترط ظهور الباعث في متن العقد، مادام الطرف الآخر على علم به.</w:t>
      </w:r>
    </w:p>
    <w:p w14:paraId="4C8EAA27" w14:textId="77777777" w:rsidR="0094067A" w:rsidRPr="008C0FB5" w:rsidRDefault="0094067A" w:rsidP="007A1F34">
      <w:pPr>
        <w:pStyle w:val="48"/>
        <w:numPr>
          <w:ilvl w:val="0"/>
          <w:numId w:val="27"/>
        </w:numPr>
        <w:rPr>
          <w:rFonts w:hint="cs"/>
          <w:rtl/>
        </w:rPr>
      </w:pPr>
      <w:r w:rsidRPr="008C0FB5">
        <w:rPr>
          <w:rFonts w:hint="cs"/>
          <w:rtl/>
        </w:rPr>
        <w:t xml:space="preserve">ومن الفقهاء: من وقف موقفاً وسطاً بين النظريتين السابقتين ففي الأصل يعتد بالإرادة الظاهرة لكن إذا كان بإمكان المتعاقد التعرف على إرادة المتعاقد الآخر </w:t>
      </w:r>
      <w:r w:rsidRPr="008C0FB5">
        <w:rPr>
          <w:rFonts w:ascii="Times New Roman" w:hAnsi="Times New Roman" w:cs="Times New Roman" w:hint="cs"/>
          <w:rtl/>
        </w:rPr>
        <w:t>–</w:t>
      </w:r>
      <w:r w:rsidRPr="008C0FB5">
        <w:rPr>
          <w:rFonts w:hint="cs"/>
          <w:rtl/>
        </w:rPr>
        <w:t xml:space="preserve"> وذلك من طبيعة محل العقد </w:t>
      </w:r>
      <w:r w:rsidRPr="008C0FB5">
        <w:rPr>
          <w:rFonts w:ascii="Times New Roman" w:hAnsi="Times New Roman" w:cs="Times New Roman" w:hint="cs"/>
          <w:rtl/>
        </w:rPr>
        <w:t>–</w:t>
      </w:r>
      <w:r w:rsidRPr="008C0FB5">
        <w:rPr>
          <w:rFonts w:hint="cs"/>
          <w:rtl/>
        </w:rPr>
        <w:t xml:space="preserve"> فانه يعتد بالإرادة الباطنة.</w:t>
      </w:r>
    </w:p>
    <w:p w14:paraId="1822713D" w14:textId="77777777" w:rsidR="0094067A" w:rsidRPr="008C0FB5" w:rsidRDefault="0094067A" w:rsidP="00C35031">
      <w:pPr>
        <w:pStyle w:val="35"/>
        <w:rPr>
          <w:rFonts w:hint="cs"/>
          <w:rtl/>
        </w:rPr>
      </w:pPr>
      <w:r w:rsidRPr="008C0FB5">
        <w:rPr>
          <w:rFonts w:hint="cs"/>
          <w:rtl/>
        </w:rPr>
        <w:t xml:space="preserve">هذه المواقف الثلاثة سنتناولها تباعاً في المباحث الثلاثة الآتية، ذلك لأن بيانها بشكل مفصل ينبئ عن موقف الفقه الإسلامي من نظرية الباعث. </w:t>
      </w:r>
      <w:r w:rsidRPr="008C0FB5">
        <w:rPr>
          <w:rFonts w:hint="cs"/>
          <w:sz w:val="30"/>
          <w:rtl/>
        </w:rPr>
        <w:t xml:space="preserve"> </w:t>
      </w:r>
    </w:p>
    <w:p w14:paraId="7C5EE72E" w14:textId="77777777" w:rsidR="0094067A" w:rsidRPr="008C0FB5" w:rsidRDefault="00921573" w:rsidP="00C253D0">
      <w:pPr>
        <w:pStyle w:val="a1"/>
        <w:rPr>
          <w:rFonts w:hint="cs"/>
          <w:rtl/>
        </w:rPr>
      </w:pPr>
      <w:r w:rsidRPr="008C0FB5">
        <w:rPr>
          <w:rtl/>
        </w:rPr>
        <w:br w:type="page"/>
      </w:r>
      <w:bookmarkStart w:id="75" w:name="_Toc8643667"/>
      <w:r w:rsidR="0094067A" w:rsidRPr="008C0FB5">
        <w:rPr>
          <w:rFonts w:hint="cs"/>
          <w:rtl/>
        </w:rPr>
        <w:lastRenderedPageBreak/>
        <w:t>المطلب الأول: النظرية الموضوعية للباعث</w:t>
      </w:r>
      <w:bookmarkEnd w:id="75"/>
    </w:p>
    <w:p w14:paraId="5FD7CE7D" w14:textId="77777777" w:rsidR="0094067A" w:rsidRPr="008C0FB5" w:rsidRDefault="0094067A" w:rsidP="00C35031">
      <w:pPr>
        <w:pStyle w:val="48"/>
        <w:rPr>
          <w:rFonts w:hint="cs"/>
          <w:rtl/>
        </w:rPr>
      </w:pPr>
      <w:r w:rsidRPr="008C0FB5">
        <w:rPr>
          <w:rFonts w:hint="cs"/>
          <w:rtl/>
        </w:rPr>
        <w:t xml:space="preserve">يأخذ الإمام الشافعي بالنزعة الموضوعية ولذلك فهو لا يعتد بالباعث غير المشروع إلا إذا ظهر في العقد صراحة، ولا يلتفت إلى القرائن وملابسات الأحوال، ولو دل ذلك دلالة قوية على انه اتخذ ذريعة إلى أمر ممنوع، فلكي يكون الباعث محل اعتبار، يجب أن يذكر صراحة في صيغة العقد، ذلك ان العاقدين إذ يصرحان بهذا الباعث يسفران عن البواعث التي حدت بهما إلى التعاقد، وعندها يتسنى للقاضي أن يحكم على التصرف الذي أبرماه على ضوء هذا الباعث الدافع، فإن كان مشروعاً يعتبر التصرف مشروعاً وإلا </w:t>
      </w:r>
      <w:proofErr w:type="gramStart"/>
      <w:r w:rsidRPr="008C0FB5">
        <w:rPr>
          <w:rFonts w:hint="cs"/>
          <w:rtl/>
        </w:rPr>
        <w:t>فلا</w:t>
      </w:r>
      <w:r w:rsidRPr="008C0FB5">
        <w:rPr>
          <w:rFonts w:cs="Saihat" w:hint="cs"/>
          <w:vertAlign w:val="superscript"/>
          <w:rtl/>
        </w:rPr>
        <w:t>(</w:t>
      </w:r>
      <w:proofErr w:type="gramEnd"/>
      <w:r w:rsidRPr="008C0FB5">
        <w:rPr>
          <w:rStyle w:val="af0"/>
          <w:rFonts w:cs="Saihat"/>
          <w:sz w:val="30"/>
          <w:rtl/>
        </w:rPr>
        <w:footnoteReference w:id="192"/>
      </w:r>
      <w:r w:rsidRPr="008C0FB5">
        <w:rPr>
          <w:rFonts w:cs="Saihat" w:hint="cs"/>
          <w:vertAlign w:val="superscript"/>
          <w:rtl/>
        </w:rPr>
        <w:t>)</w:t>
      </w:r>
      <w:r w:rsidRPr="008C0FB5">
        <w:rPr>
          <w:rFonts w:hint="cs"/>
          <w:rtl/>
        </w:rPr>
        <w:t>.</w:t>
      </w:r>
    </w:p>
    <w:p w14:paraId="75197822" w14:textId="77777777" w:rsidR="0094067A" w:rsidRPr="008C0FB5" w:rsidRDefault="0094067A" w:rsidP="00C35031">
      <w:pPr>
        <w:pStyle w:val="35"/>
        <w:rPr>
          <w:rFonts w:hint="cs"/>
          <w:rtl/>
        </w:rPr>
      </w:pPr>
      <w:r w:rsidRPr="008C0FB5">
        <w:rPr>
          <w:rFonts w:hint="cs"/>
          <w:rtl/>
        </w:rPr>
        <w:t>وغير خافٍ على القارئ، ان اشتراط التصريح بالسبب المصلحي لإعمال آثاره يضبط التعامل ولا يفسح المجال للأركان والتهمة، ويريح القاضي من عناء سبر أعماق النفس، والتعرف على الدوافع البعيدة في ضمير المتعاقد، فمن الخير إذن أن يدخل السبب المصلحي في دائرة التعاقد، وأن يكون جزءاً من التعبير، فعندها يقف القاضي عند الإرادة الظاهرة وما تحمله في متنها من بواعث ودوافع، ولا يتخطاها إلى النوايا المستكنة في النفس، فإذا كانت الإرادة الظاهرة خالية من الباعث غير المشروع حكم القاضي بصحة العقد دون أن يكلف نفسه عناء التنقيب في نفس المتعاقد عن البواعث الخفية غير المشروعة الدافعة للتعاقد</w:t>
      </w:r>
      <w:r w:rsidRPr="008C0FB5">
        <w:rPr>
          <w:rFonts w:cs="Saihat" w:hint="cs"/>
          <w:vertAlign w:val="superscript"/>
          <w:rtl/>
        </w:rPr>
        <w:t>(</w:t>
      </w:r>
      <w:r w:rsidRPr="008C0FB5">
        <w:rPr>
          <w:rStyle w:val="af0"/>
          <w:rFonts w:cs="Saihat"/>
          <w:sz w:val="30"/>
          <w:rtl/>
        </w:rPr>
        <w:footnoteReference w:id="193"/>
      </w:r>
      <w:r w:rsidRPr="008C0FB5">
        <w:rPr>
          <w:rFonts w:cs="Saihat" w:hint="cs"/>
          <w:vertAlign w:val="superscript"/>
          <w:rtl/>
        </w:rPr>
        <w:t>)</w:t>
      </w:r>
      <w:r w:rsidRPr="008C0FB5">
        <w:rPr>
          <w:rFonts w:hint="cs"/>
          <w:rtl/>
        </w:rPr>
        <w:t>.</w:t>
      </w:r>
    </w:p>
    <w:p w14:paraId="6D22B1AD" w14:textId="77777777" w:rsidR="0094067A" w:rsidRPr="008C0FB5" w:rsidRDefault="0094067A" w:rsidP="00C35031">
      <w:pPr>
        <w:pStyle w:val="35"/>
        <w:rPr>
          <w:rFonts w:hint="cs"/>
          <w:rtl/>
        </w:rPr>
      </w:pPr>
      <w:r w:rsidRPr="008C0FB5">
        <w:rPr>
          <w:rFonts w:hint="cs"/>
          <w:rtl/>
        </w:rPr>
        <w:t xml:space="preserve">ولعل أقوى نص وجدناه في الإفصاح عن صيغة هذه النظرية الأولى هو نص عزاه ابن القيم في كتابه أعلام الموقعين للشافعي قال فيه: </w:t>
      </w:r>
    </w:p>
    <w:p w14:paraId="67072777" w14:textId="77777777" w:rsidR="0094067A" w:rsidRPr="008C0FB5" w:rsidRDefault="0094067A" w:rsidP="00A613BA">
      <w:pPr>
        <w:pStyle w:val="afffffff1"/>
        <w:rPr>
          <w:rFonts w:hint="cs"/>
          <w:rtl/>
        </w:rPr>
      </w:pPr>
      <w:r w:rsidRPr="008C0FB5">
        <w:rPr>
          <w:rFonts w:hint="cs"/>
          <w:rtl/>
        </w:rPr>
        <w:t xml:space="preserve">ثم قواعد الفقه وأدلته لا تحرم مثل ذلك، فان هذه العقود التي لم يشترط المحرم في صلبها عقود صدرت من أهلها، في محلها مقرونة بشروطها، فيجب الحكم بصحتها، لأن السبب هو الإيجاب والقبول، وهما تامان وأهلية التعاقد لا نزاع فيها، ومحلية العقد كاملة فلم يبقَ إلا القصد المقرون بالعقد، ولا تأثير له في بطلان الأسباب </w:t>
      </w:r>
      <w:proofErr w:type="gramStart"/>
      <w:r w:rsidRPr="008C0FB5">
        <w:rPr>
          <w:rFonts w:hint="cs"/>
          <w:rtl/>
        </w:rPr>
        <w:t>الظاهرة</w:t>
      </w:r>
      <w:r w:rsidRPr="008C0FB5">
        <w:rPr>
          <w:rFonts w:hint="cs"/>
          <w:szCs w:val="30"/>
          <w:vertAlign w:val="superscript"/>
          <w:rtl/>
        </w:rPr>
        <w:t>(</w:t>
      </w:r>
      <w:proofErr w:type="gramEnd"/>
      <w:r w:rsidRPr="008C0FB5">
        <w:rPr>
          <w:rStyle w:val="af0"/>
          <w:sz w:val="30"/>
          <w:szCs w:val="30"/>
          <w:rtl/>
        </w:rPr>
        <w:footnoteReference w:id="194"/>
      </w:r>
      <w:r w:rsidRPr="008C0FB5">
        <w:rPr>
          <w:rFonts w:hint="cs"/>
          <w:szCs w:val="30"/>
          <w:vertAlign w:val="superscript"/>
          <w:rtl/>
        </w:rPr>
        <w:t>)</w:t>
      </w:r>
      <w:r w:rsidRPr="008C0FB5">
        <w:rPr>
          <w:rFonts w:hint="cs"/>
          <w:rtl/>
        </w:rPr>
        <w:t xml:space="preserve">.    </w:t>
      </w:r>
    </w:p>
    <w:p w14:paraId="1881F68C" w14:textId="77777777" w:rsidR="0094067A" w:rsidRPr="008C0FB5" w:rsidRDefault="0094067A" w:rsidP="00C35031">
      <w:pPr>
        <w:pStyle w:val="35"/>
        <w:rPr>
          <w:rFonts w:hint="cs"/>
          <w:rtl/>
        </w:rPr>
      </w:pPr>
      <w:r w:rsidRPr="008C0FB5">
        <w:rPr>
          <w:rFonts w:hint="cs"/>
          <w:rtl/>
        </w:rPr>
        <w:t xml:space="preserve">فالشافعي يصرح في هذا النص انه مادام قد توافرت المقتضيات الفنية في التصرفات من (إيجاب وقبول وأهلية وقابلية المحل لحكم العقد) فلا عبرة بعدها للباعث (القصد الخفي) في بطلان هذه المقتضيات الفنية </w:t>
      </w:r>
      <w:proofErr w:type="gramStart"/>
      <w:r w:rsidRPr="008C0FB5">
        <w:rPr>
          <w:rFonts w:hint="cs"/>
          <w:rtl/>
        </w:rPr>
        <w:t>الظاهرة</w:t>
      </w:r>
      <w:r w:rsidRPr="008C0FB5">
        <w:rPr>
          <w:rFonts w:cs="Saihat" w:hint="cs"/>
          <w:vertAlign w:val="superscript"/>
          <w:rtl/>
        </w:rPr>
        <w:t>(</w:t>
      </w:r>
      <w:proofErr w:type="gramEnd"/>
      <w:r w:rsidRPr="008C0FB5">
        <w:rPr>
          <w:rStyle w:val="af0"/>
          <w:rFonts w:cs="Saihat"/>
          <w:sz w:val="30"/>
          <w:rtl/>
        </w:rPr>
        <w:footnoteReference w:id="195"/>
      </w:r>
      <w:r w:rsidRPr="008C0FB5">
        <w:rPr>
          <w:rFonts w:cs="Saihat" w:hint="cs"/>
          <w:vertAlign w:val="superscript"/>
          <w:rtl/>
        </w:rPr>
        <w:t>)</w:t>
      </w:r>
      <w:r w:rsidRPr="008C0FB5">
        <w:rPr>
          <w:rFonts w:hint="cs"/>
          <w:rtl/>
        </w:rPr>
        <w:t>.</w:t>
      </w:r>
    </w:p>
    <w:p w14:paraId="4CDC0511" w14:textId="77777777" w:rsidR="0094067A" w:rsidRPr="008C0FB5" w:rsidRDefault="0094067A" w:rsidP="00C35031">
      <w:pPr>
        <w:pStyle w:val="35"/>
        <w:rPr>
          <w:rFonts w:hint="cs"/>
          <w:rtl/>
        </w:rPr>
      </w:pPr>
      <w:r w:rsidRPr="008C0FB5">
        <w:rPr>
          <w:rFonts w:hint="cs"/>
          <w:rtl/>
        </w:rPr>
        <w:t xml:space="preserve">ويقول في مكان آخر </w:t>
      </w:r>
    </w:p>
    <w:p w14:paraId="2FBB3D76" w14:textId="77777777" w:rsidR="0094067A" w:rsidRPr="008C0FB5" w:rsidRDefault="0094067A" w:rsidP="00A613BA">
      <w:pPr>
        <w:pStyle w:val="afffffff1"/>
        <w:rPr>
          <w:rFonts w:hint="cs"/>
          <w:rtl/>
        </w:rPr>
      </w:pPr>
      <w:r w:rsidRPr="008C0FB5">
        <w:rPr>
          <w:rFonts w:hint="cs"/>
          <w:rtl/>
        </w:rPr>
        <w:t xml:space="preserve">والنية لا تغير موجب السبب </w:t>
      </w:r>
      <w:r w:rsidRPr="008C0FB5">
        <w:rPr>
          <w:rFonts w:ascii="Times New Roman" w:hAnsi="Times New Roman" w:cs="Times New Roman" w:hint="cs"/>
          <w:rtl/>
        </w:rPr>
        <w:t>–</w:t>
      </w:r>
      <w:r w:rsidRPr="008C0FB5">
        <w:rPr>
          <w:rFonts w:hint="cs"/>
          <w:rtl/>
        </w:rPr>
        <w:t xml:space="preserve"> التصرف </w:t>
      </w:r>
      <w:r w:rsidRPr="008C0FB5">
        <w:rPr>
          <w:rFonts w:ascii="Times New Roman" w:hAnsi="Times New Roman" w:cs="Times New Roman" w:hint="cs"/>
          <w:rtl/>
        </w:rPr>
        <w:t>–</w:t>
      </w:r>
      <w:r w:rsidRPr="008C0FB5">
        <w:rPr>
          <w:rFonts w:hint="cs"/>
          <w:rtl/>
        </w:rPr>
        <w:t xml:space="preserve"> </w:t>
      </w:r>
    </w:p>
    <w:p w14:paraId="3D319B01" w14:textId="77777777" w:rsidR="0094067A" w:rsidRPr="008C0FB5" w:rsidRDefault="0094067A" w:rsidP="00C35031">
      <w:pPr>
        <w:pStyle w:val="35"/>
        <w:rPr>
          <w:rFonts w:hint="cs"/>
          <w:rtl/>
        </w:rPr>
      </w:pPr>
      <w:r w:rsidRPr="008C0FB5">
        <w:rPr>
          <w:rFonts w:hint="cs"/>
          <w:rtl/>
        </w:rPr>
        <w:t xml:space="preserve">ويقول أيضاً: </w:t>
      </w:r>
    </w:p>
    <w:p w14:paraId="3314459D" w14:textId="77777777" w:rsidR="0094067A" w:rsidRPr="008C0FB5" w:rsidRDefault="0094067A" w:rsidP="00A613BA">
      <w:pPr>
        <w:pStyle w:val="afffffff1"/>
        <w:rPr>
          <w:rFonts w:hint="cs"/>
          <w:rtl/>
        </w:rPr>
      </w:pPr>
      <w:r w:rsidRPr="008C0FB5">
        <w:rPr>
          <w:rFonts w:hint="cs"/>
          <w:rtl/>
        </w:rPr>
        <w:t xml:space="preserve">فالقصد لا يقدح في اقتضاء السبب لحكمه، لأنه خارج عما يتم به </w:t>
      </w:r>
      <w:proofErr w:type="gramStart"/>
      <w:r w:rsidRPr="008C0FB5">
        <w:rPr>
          <w:rFonts w:hint="cs"/>
          <w:rtl/>
        </w:rPr>
        <w:t>العقد</w:t>
      </w:r>
      <w:r w:rsidRPr="008C0FB5">
        <w:rPr>
          <w:rFonts w:hint="cs"/>
          <w:szCs w:val="30"/>
          <w:vertAlign w:val="superscript"/>
          <w:rtl/>
        </w:rPr>
        <w:t>(</w:t>
      </w:r>
      <w:proofErr w:type="gramEnd"/>
      <w:r w:rsidRPr="008C0FB5">
        <w:rPr>
          <w:rStyle w:val="af0"/>
          <w:sz w:val="30"/>
          <w:szCs w:val="30"/>
          <w:rtl/>
        </w:rPr>
        <w:footnoteReference w:id="196"/>
      </w:r>
      <w:r w:rsidRPr="008C0FB5">
        <w:rPr>
          <w:rFonts w:hint="cs"/>
          <w:szCs w:val="30"/>
          <w:vertAlign w:val="superscript"/>
          <w:rtl/>
        </w:rPr>
        <w:t>)</w:t>
      </w:r>
      <w:r w:rsidRPr="008C0FB5">
        <w:rPr>
          <w:rFonts w:hint="cs"/>
          <w:rtl/>
        </w:rPr>
        <w:t>.</w:t>
      </w:r>
    </w:p>
    <w:p w14:paraId="2BBF601E" w14:textId="77777777" w:rsidR="0094067A" w:rsidRPr="008C0FB5" w:rsidRDefault="0094067A" w:rsidP="00C35031">
      <w:pPr>
        <w:pStyle w:val="35"/>
        <w:rPr>
          <w:rFonts w:hint="cs"/>
          <w:rtl/>
        </w:rPr>
      </w:pPr>
      <w:r w:rsidRPr="008C0FB5">
        <w:rPr>
          <w:rFonts w:hint="cs"/>
          <w:rtl/>
        </w:rPr>
        <w:t>وهذه أقوى صيغة وجدناها للإمام الشافعي للتعبير عن السبب الباعث، وهو خارج عن دائرة التعاقد.</w:t>
      </w:r>
    </w:p>
    <w:p w14:paraId="67D72EB2" w14:textId="77777777" w:rsidR="0094067A" w:rsidRPr="008C0FB5" w:rsidRDefault="0094067A" w:rsidP="00C35031">
      <w:pPr>
        <w:pStyle w:val="35"/>
        <w:rPr>
          <w:rFonts w:hint="cs"/>
          <w:rtl/>
        </w:rPr>
      </w:pPr>
      <w:r w:rsidRPr="008C0FB5">
        <w:rPr>
          <w:rFonts w:hint="cs"/>
          <w:rtl/>
        </w:rPr>
        <w:lastRenderedPageBreak/>
        <w:t xml:space="preserve">ويصور الشافعي في مكان آخر، خروج الباعث عن دائرة التعاقد فيقول انه </w:t>
      </w:r>
    </w:p>
    <w:p w14:paraId="45274DA9" w14:textId="77777777" w:rsidR="0094067A" w:rsidRPr="008C0FB5" w:rsidRDefault="0094067A" w:rsidP="00A613BA">
      <w:pPr>
        <w:pStyle w:val="afffffff1"/>
        <w:rPr>
          <w:rFonts w:hint="cs"/>
          <w:rtl/>
        </w:rPr>
      </w:pPr>
      <w:r w:rsidRPr="008C0FB5">
        <w:rPr>
          <w:rFonts w:hint="cs"/>
          <w:rtl/>
        </w:rPr>
        <w:t xml:space="preserve">منقطع عن السبب، فلا يخرج السبب عن اقتضاء </w:t>
      </w:r>
      <w:proofErr w:type="gramStart"/>
      <w:r w:rsidRPr="008C0FB5">
        <w:rPr>
          <w:rFonts w:hint="cs"/>
          <w:rtl/>
        </w:rPr>
        <w:t>حكمه</w:t>
      </w:r>
      <w:r w:rsidRPr="008C0FB5">
        <w:rPr>
          <w:rFonts w:hint="cs"/>
          <w:szCs w:val="30"/>
          <w:vertAlign w:val="superscript"/>
          <w:rtl/>
        </w:rPr>
        <w:t>(</w:t>
      </w:r>
      <w:proofErr w:type="gramEnd"/>
      <w:r w:rsidRPr="008C0FB5">
        <w:rPr>
          <w:rStyle w:val="af0"/>
          <w:sz w:val="30"/>
          <w:szCs w:val="30"/>
          <w:rtl/>
        </w:rPr>
        <w:footnoteReference w:id="197"/>
      </w:r>
      <w:r w:rsidRPr="008C0FB5">
        <w:rPr>
          <w:rFonts w:hint="cs"/>
          <w:szCs w:val="30"/>
          <w:vertAlign w:val="superscript"/>
          <w:rtl/>
        </w:rPr>
        <w:t>)</w:t>
      </w:r>
      <w:r w:rsidRPr="008C0FB5">
        <w:rPr>
          <w:rFonts w:hint="cs"/>
          <w:rtl/>
        </w:rPr>
        <w:t>.</w:t>
      </w:r>
    </w:p>
    <w:p w14:paraId="0FDB34EC" w14:textId="77777777" w:rsidR="0094067A" w:rsidRPr="008C0FB5" w:rsidRDefault="0094067A" w:rsidP="00C35031">
      <w:pPr>
        <w:pStyle w:val="35"/>
        <w:rPr>
          <w:rFonts w:hint="cs"/>
          <w:rtl/>
        </w:rPr>
      </w:pPr>
      <w:r w:rsidRPr="008C0FB5">
        <w:rPr>
          <w:rFonts w:hint="cs"/>
          <w:rtl/>
        </w:rPr>
        <w:t>ويقارن الشافعي في مكان آخر، بين الوسيلة الفنية والوسيلة النفسانية، فيرى إعمال الأولى وإهمال الثانية رغم اشتراكهما في طابع الذاتية أحياناً، فهو يرى مثلاً ان الرضا إذا تخلف لم يقم العقد لتخلف وسيلة ركنية فنية، أما إذا كان القصد غير مشروع فلا عبرة له، لأنه منقطع عن السبب (أي خارج عن دائرة التعاقد).</w:t>
      </w:r>
    </w:p>
    <w:p w14:paraId="678A041E" w14:textId="77777777" w:rsidR="0094067A" w:rsidRPr="008C0FB5" w:rsidRDefault="0094067A" w:rsidP="00C35031">
      <w:pPr>
        <w:pStyle w:val="35"/>
        <w:rPr>
          <w:rFonts w:hint="cs"/>
          <w:rtl/>
        </w:rPr>
      </w:pPr>
      <w:r w:rsidRPr="008C0FB5">
        <w:rPr>
          <w:rFonts w:hint="cs"/>
          <w:rtl/>
        </w:rPr>
        <w:t xml:space="preserve">يقول الشافعي رحمه الله: </w:t>
      </w:r>
    </w:p>
    <w:p w14:paraId="34CCF08E" w14:textId="77777777" w:rsidR="0094067A" w:rsidRPr="008C0FB5" w:rsidRDefault="0094067A" w:rsidP="00A613BA">
      <w:pPr>
        <w:pStyle w:val="afffffff1"/>
        <w:rPr>
          <w:rFonts w:hint="cs"/>
          <w:rtl/>
        </w:rPr>
      </w:pPr>
      <w:r w:rsidRPr="008C0FB5">
        <w:rPr>
          <w:rFonts w:hint="cs"/>
          <w:rtl/>
        </w:rPr>
        <w:t xml:space="preserve">فالقصد لا يقدح في اقتضاء السبب لحكمه، لأنه خارج عما يتم به العقد، ولهذا لو اشترى سلاحاً وفي نيته أن يقتل به معصوماً، فكل ذلك لا أثر له في صحة البيع من جهة انه منقطع عن السبب، فلا يرج السبب عن اقتضاء حكمه، وقد ظهر بهذا الفرق بين هذا القصد وبين الإكراه، فان الرضا شرط في صحة العقد، والإكراه ينافي </w:t>
      </w:r>
      <w:proofErr w:type="gramStart"/>
      <w:r w:rsidRPr="008C0FB5">
        <w:rPr>
          <w:rFonts w:hint="cs"/>
          <w:rtl/>
        </w:rPr>
        <w:t>الرضا</w:t>
      </w:r>
      <w:r w:rsidRPr="008C0FB5">
        <w:rPr>
          <w:rFonts w:hint="cs"/>
          <w:szCs w:val="30"/>
          <w:vertAlign w:val="superscript"/>
          <w:rtl/>
        </w:rPr>
        <w:t>(</w:t>
      </w:r>
      <w:proofErr w:type="gramEnd"/>
      <w:r w:rsidRPr="008C0FB5">
        <w:rPr>
          <w:rStyle w:val="af0"/>
          <w:sz w:val="30"/>
          <w:szCs w:val="30"/>
          <w:rtl/>
        </w:rPr>
        <w:footnoteReference w:id="198"/>
      </w:r>
      <w:r w:rsidRPr="008C0FB5">
        <w:rPr>
          <w:rFonts w:hint="cs"/>
          <w:szCs w:val="30"/>
          <w:vertAlign w:val="superscript"/>
          <w:rtl/>
        </w:rPr>
        <w:t>)</w:t>
      </w:r>
      <w:r w:rsidRPr="008C0FB5">
        <w:rPr>
          <w:rFonts w:hint="cs"/>
          <w:rtl/>
        </w:rPr>
        <w:t>.</w:t>
      </w:r>
    </w:p>
    <w:p w14:paraId="35354284" w14:textId="77777777" w:rsidR="0094067A" w:rsidRPr="008C0FB5" w:rsidRDefault="0094067A" w:rsidP="00C35031">
      <w:pPr>
        <w:pStyle w:val="35"/>
        <w:rPr>
          <w:rFonts w:hint="cs"/>
          <w:rtl/>
        </w:rPr>
      </w:pPr>
      <w:r w:rsidRPr="008C0FB5">
        <w:rPr>
          <w:rFonts w:hint="cs"/>
          <w:rtl/>
        </w:rPr>
        <w:t>ويدلل في مكان آخر أيضاً على ان المقتضيات الفنية للتصرفات كافية، وانه لا سبيل للباعث للدخول في هذا النطاق الفني، وإعدام آثاره، ذلك ان هذه الآثار قد قصر القانون إناطتها على وسائل العقد الفنية لا النفسية.</w:t>
      </w:r>
    </w:p>
    <w:p w14:paraId="57458E01" w14:textId="77777777" w:rsidR="0094067A" w:rsidRPr="008C0FB5" w:rsidRDefault="0094067A" w:rsidP="00C35031">
      <w:pPr>
        <w:pStyle w:val="35"/>
        <w:rPr>
          <w:rFonts w:hint="cs"/>
          <w:rtl/>
        </w:rPr>
      </w:pPr>
      <w:r w:rsidRPr="008C0FB5">
        <w:rPr>
          <w:rFonts w:hint="cs"/>
          <w:rtl/>
        </w:rPr>
        <w:t xml:space="preserve">ويقول: </w:t>
      </w:r>
    </w:p>
    <w:p w14:paraId="2265A437" w14:textId="77777777" w:rsidR="0094067A" w:rsidRPr="008C0FB5" w:rsidRDefault="0094067A" w:rsidP="00A613BA">
      <w:pPr>
        <w:pStyle w:val="afffffff1"/>
        <w:rPr>
          <w:rFonts w:hint="cs"/>
          <w:rtl/>
        </w:rPr>
      </w:pPr>
      <w:r w:rsidRPr="008C0FB5">
        <w:rPr>
          <w:rFonts w:hint="cs"/>
          <w:rtl/>
        </w:rPr>
        <w:t>فإذا كان السبب ظاهراً متعيناً لمسببه، لم يكن للنية الباطنة أثر في تغيير حكمه، يوضحه، ان النية لا تؤثر في اقتضاء الأسباب الحسية والعقلية المستلزمة لمسبباتها، ولا تؤثر النية في تغيرها</w:t>
      </w:r>
      <w:r w:rsidRPr="008C0FB5">
        <w:rPr>
          <w:rFonts w:hint="cs"/>
          <w:vertAlign w:val="superscript"/>
          <w:rtl/>
        </w:rPr>
        <w:t xml:space="preserve"> </w:t>
      </w:r>
      <w:r w:rsidRPr="008C0FB5">
        <w:rPr>
          <w:rFonts w:hint="cs"/>
          <w:szCs w:val="30"/>
          <w:vertAlign w:val="superscript"/>
          <w:rtl/>
        </w:rPr>
        <w:t>(</w:t>
      </w:r>
      <w:r w:rsidRPr="008C0FB5">
        <w:rPr>
          <w:rStyle w:val="af0"/>
          <w:sz w:val="30"/>
          <w:szCs w:val="30"/>
          <w:rtl/>
        </w:rPr>
        <w:footnoteReference w:id="199"/>
      </w:r>
      <w:r w:rsidRPr="008C0FB5">
        <w:rPr>
          <w:rFonts w:hint="cs"/>
          <w:szCs w:val="30"/>
          <w:vertAlign w:val="superscript"/>
          <w:rtl/>
        </w:rPr>
        <w:t>)</w:t>
      </w:r>
      <w:r w:rsidRPr="008C0FB5">
        <w:rPr>
          <w:rFonts w:hint="cs"/>
          <w:rtl/>
        </w:rPr>
        <w:t xml:space="preserve">.   </w:t>
      </w:r>
    </w:p>
    <w:p w14:paraId="3059A261" w14:textId="77777777" w:rsidR="0094067A" w:rsidRPr="008C0FB5" w:rsidRDefault="0094067A" w:rsidP="00C35031">
      <w:pPr>
        <w:pStyle w:val="35"/>
        <w:rPr>
          <w:rFonts w:hint="cs"/>
          <w:rtl/>
        </w:rPr>
      </w:pPr>
      <w:r w:rsidRPr="008C0FB5">
        <w:rPr>
          <w:rFonts w:hint="cs"/>
          <w:rtl/>
        </w:rPr>
        <w:t xml:space="preserve">ويشرح الشافعي نظريته هذه في عبارة قوية في كتاب الأم: </w:t>
      </w:r>
    </w:p>
    <w:p w14:paraId="79B73941" w14:textId="77777777" w:rsidR="0094067A" w:rsidRPr="008C0FB5" w:rsidRDefault="0094067A" w:rsidP="00A613BA">
      <w:pPr>
        <w:pStyle w:val="afffffff1"/>
        <w:rPr>
          <w:rFonts w:hint="cs"/>
          <w:rtl/>
        </w:rPr>
      </w:pPr>
      <w:r w:rsidRPr="008C0FB5">
        <w:rPr>
          <w:rFonts w:hint="cs"/>
          <w:rtl/>
        </w:rPr>
        <w:t xml:space="preserve">أصل ما أذهب إليه ان كل عقد كان صحيحاً في الظاهر، لم أبطله بتهمة، ولا بعادة بين المتبايعين وأجزته بصحة الظاهر، وأكره لهما النية إذا كانت النية لو أظهرت كانت تفسد البيع، وكما أكره للرجل أن يشتري السيف على أن يقتل به، ولا يحرم على بائعه أن يبيعه، ممن يراه انه يقتل به ظلماً، لأنه قد لا يقتل به، ولا أفسد عليه هذا البيع. وكما أكره للرجل أن يبيع العنب ممن يراه أن يعصره خمراً، ولا أفسد عليه البيع إذا باعه إياه، لأنه باعه حلالاً. وقد يمكن </w:t>
      </w:r>
      <w:proofErr w:type="gramStart"/>
      <w:r w:rsidRPr="008C0FB5">
        <w:rPr>
          <w:rFonts w:hint="cs"/>
          <w:rtl/>
        </w:rPr>
        <w:t>أن لا</w:t>
      </w:r>
      <w:proofErr w:type="gramEnd"/>
      <w:r w:rsidRPr="008C0FB5">
        <w:rPr>
          <w:rFonts w:hint="cs"/>
          <w:rtl/>
        </w:rPr>
        <w:t xml:space="preserve"> يجعله خمراً أبداً، وفي صاحب السيف أن لا يقتل به أحداً أبداً. ولو نكح رجل امرأة عقداً صحيحاً وهو ينوي أن لا يمسكها إلا يوماً أو أقل أو أكثر، لم أفسد النكاح وإنما أفسده أبداً بالعقد </w:t>
      </w:r>
      <w:proofErr w:type="gramStart"/>
      <w:r w:rsidRPr="008C0FB5">
        <w:rPr>
          <w:rFonts w:hint="cs"/>
          <w:rtl/>
        </w:rPr>
        <w:t>الفاسد</w:t>
      </w:r>
      <w:r w:rsidRPr="008C0FB5">
        <w:rPr>
          <w:rFonts w:hint="cs"/>
          <w:szCs w:val="30"/>
          <w:vertAlign w:val="superscript"/>
          <w:rtl/>
        </w:rPr>
        <w:t>(</w:t>
      </w:r>
      <w:proofErr w:type="gramEnd"/>
      <w:r w:rsidRPr="008C0FB5">
        <w:rPr>
          <w:rStyle w:val="af0"/>
          <w:sz w:val="30"/>
          <w:szCs w:val="30"/>
          <w:rtl/>
        </w:rPr>
        <w:footnoteReference w:id="200"/>
      </w:r>
      <w:r w:rsidRPr="008C0FB5">
        <w:rPr>
          <w:rFonts w:hint="cs"/>
          <w:szCs w:val="30"/>
          <w:vertAlign w:val="superscript"/>
          <w:rtl/>
        </w:rPr>
        <w:t>)</w:t>
      </w:r>
      <w:r w:rsidRPr="008C0FB5">
        <w:rPr>
          <w:rFonts w:hint="cs"/>
          <w:rtl/>
        </w:rPr>
        <w:t>.</w:t>
      </w:r>
    </w:p>
    <w:p w14:paraId="051C6089" w14:textId="77777777" w:rsidR="0094067A" w:rsidRPr="008C0FB5" w:rsidRDefault="0094067A" w:rsidP="00C35031">
      <w:pPr>
        <w:pStyle w:val="35"/>
        <w:rPr>
          <w:rFonts w:hint="cs"/>
          <w:rtl/>
        </w:rPr>
      </w:pPr>
      <w:r w:rsidRPr="008C0FB5">
        <w:rPr>
          <w:rFonts w:hint="cs"/>
          <w:rtl/>
        </w:rPr>
        <w:t xml:space="preserve">ويقول في موضع آخر: </w:t>
      </w:r>
    </w:p>
    <w:p w14:paraId="2CB02D3B" w14:textId="77777777" w:rsidR="0094067A" w:rsidRPr="008C0FB5" w:rsidRDefault="0094067A" w:rsidP="00A613BA">
      <w:pPr>
        <w:pStyle w:val="afffffff1"/>
        <w:rPr>
          <w:rFonts w:hint="cs"/>
          <w:rtl/>
        </w:rPr>
      </w:pPr>
      <w:r w:rsidRPr="008C0FB5">
        <w:rPr>
          <w:rFonts w:hint="cs"/>
          <w:rtl/>
        </w:rPr>
        <w:t xml:space="preserve">غير انهما إذا عقدا النكاح مطلقاً لا شرط فيه، فالنكاح ثابت ولا تفسد النية من النكاح شيئاً، لأن النية حديث النفس، وقد وضع عن الناس ما حدثوا به أنفسهم، وقد ينوي الشيء ولا يفعله، وينويه ويفعله، فيكون الفعل حادثاً غير النية، وكذلك لو نكحها وبنيته ونيتها أن يحللها لزوجها، ثبت النكاح ما لم يقع النكاح بشرط </w:t>
      </w:r>
      <w:proofErr w:type="gramStart"/>
      <w:r w:rsidRPr="008C0FB5">
        <w:rPr>
          <w:rFonts w:hint="cs"/>
          <w:rtl/>
        </w:rPr>
        <w:t>يفسده</w:t>
      </w:r>
      <w:r w:rsidRPr="008C0FB5">
        <w:rPr>
          <w:rFonts w:hint="cs"/>
          <w:szCs w:val="30"/>
          <w:vertAlign w:val="superscript"/>
          <w:rtl/>
        </w:rPr>
        <w:t>(</w:t>
      </w:r>
      <w:proofErr w:type="gramEnd"/>
      <w:r w:rsidRPr="008C0FB5">
        <w:rPr>
          <w:rStyle w:val="af0"/>
          <w:sz w:val="30"/>
          <w:szCs w:val="30"/>
          <w:rtl/>
        </w:rPr>
        <w:footnoteReference w:id="201"/>
      </w:r>
      <w:r w:rsidRPr="008C0FB5">
        <w:rPr>
          <w:rFonts w:hint="cs"/>
          <w:szCs w:val="30"/>
          <w:vertAlign w:val="superscript"/>
          <w:rtl/>
        </w:rPr>
        <w:t>)</w:t>
      </w:r>
      <w:r w:rsidRPr="008C0FB5">
        <w:rPr>
          <w:rFonts w:hint="cs"/>
          <w:rtl/>
        </w:rPr>
        <w:t>.</w:t>
      </w:r>
    </w:p>
    <w:p w14:paraId="7DC3F284" w14:textId="77777777" w:rsidR="0094067A" w:rsidRPr="008C0FB5" w:rsidRDefault="0094067A" w:rsidP="00C35031">
      <w:pPr>
        <w:pStyle w:val="35"/>
        <w:rPr>
          <w:rFonts w:hint="cs"/>
          <w:rtl/>
        </w:rPr>
      </w:pPr>
      <w:r w:rsidRPr="008C0FB5">
        <w:rPr>
          <w:rFonts w:hint="cs"/>
          <w:rtl/>
        </w:rPr>
        <w:t>فإن دلت هذه النصوص فانها تدل على موقف الإمام الشافعي المتشدد لنظرية الإرادة الظاهرة وعدم اعتداده بالنية، ويرجع السبب في هذا الموقف المتشدد إلى عدة وجوه هي:</w:t>
      </w:r>
    </w:p>
    <w:p w14:paraId="613BBA19" w14:textId="77777777" w:rsidR="0094067A" w:rsidRPr="008C0FB5" w:rsidRDefault="0094067A" w:rsidP="00C35031">
      <w:pPr>
        <w:pStyle w:val="35"/>
        <w:rPr>
          <w:rFonts w:hint="cs"/>
          <w:rtl/>
        </w:rPr>
      </w:pPr>
      <w:r w:rsidRPr="008C0FB5">
        <w:rPr>
          <w:rFonts w:hint="cs"/>
          <w:rtl/>
        </w:rPr>
        <w:t xml:space="preserve">إن المحتال مثلاً إنما قصد الربح الذي وضعت له التجارة، وإنما لكل امرئ ما نوى، فإذا </w:t>
      </w:r>
      <w:r w:rsidRPr="008C0FB5">
        <w:rPr>
          <w:rFonts w:hint="cs"/>
          <w:rtl/>
        </w:rPr>
        <w:lastRenderedPageBreak/>
        <w:t>حصل له الربح حصل له مقصوده وقد سلك الطريق المفضية إليه في نظر الشارع.</w:t>
      </w:r>
    </w:p>
    <w:p w14:paraId="4B5F2C92" w14:textId="77777777" w:rsidR="0094067A" w:rsidRPr="008C0FB5" w:rsidRDefault="0094067A" w:rsidP="00C35031">
      <w:pPr>
        <w:pStyle w:val="35"/>
        <w:rPr>
          <w:rFonts w:hint="cs"/>
          <w:rtl/>
        </w:rPr>
      </w:pPr>
      <w:r w:rsidRPr="008C0FB5">
        <w:rPr>
          <w:rFonts w:hint="cs"/>
          <w:rtl/>
        </w:rPr>
        <w:t xml:space="preserve">والمحلل غايته انه قصد الطلاق ونواه إذا وطئ المرأة، وهو مما ملكه الشارع إياه، فهو كما لو نوى المشتري إخراج المبيع عن ملكه إذا اشتراه، وسر ذلك ان السبب مقتضى لتأبد الملك، والنية لا تغير موجب السبب حتى يقال ان النية توجب تأقيت العقد وليست هي منافية لموجب العقد، فان له أن يطلق. ولو نوى بعقد الشراء إتلاف المبيع وإحراقه أو إغراقه، لم يقدح في صحة البيع فنية الطلاق </w:t>
      </w:r>
      <w:proofErr w:type="gramStart"/>
      <w:r w:rsidRPr="008C0FB5">
        <w:rPr>
          <w:rFonts w:hint="cs"/>
          <w:rtl/>
        </w:rPr>
        <w:t>أولى</w:t>
      </w:r>
      <w:r w:rsidRPr="008C0FB5">
        <w:rPr>
          <w:rFonts w:cs="Saihat" w:hint="cs"/>
          <w:vertAlign w:val="superscript"/>
          <w:rtl/>
        </w:rPr>
        <w:t>(</w:t>
      </w:r>
      <w:proofErr w:type="gramEnd"/>
      <w:r w:rsidRPr="008C0FB5">
        <w:rPr>
          <w:rStyle w:val="af0"/>
          <w:rFonts w:cs="Saihat"/>
          <w:sz w:val="30"/>
          <w:rtl/>
        </w:rPr>
        <w:footnoteReference w:id="202"/>
      </w:r>
      <w:r w:rsidRPr="008C0FB5">
        <w:rPr>
          <w:rFonts w:cs="Saihat" w:hint="cs"/>
          <w:vertAlign w:val="superscript"/>
          <w:rtl/>
        </w:rPr>
        <w:t>)</w:t>
      </w:r>
      <w:r w:rsidRPr="008C0FB5">
        <w:rPr>
          <w:rFonts w:hint="cs"/>
          <w:rtl/>
        </w:rPr>
        <w:t>.</w:t>
      </w:r>
    </w:p>
    <w:p w14:paraId="1D3DAE90" w14:textId="77777777" w:rsidR="0094067A" w:rsidRPr="008C0FB5" w:rsidRDefault="0094067A" w:rsidP="00C35031">
      <w:pPr>
        <w:pStyle w:val="35"/>
        <w:rPr>
          <w:rFonts w:hint="cs"/>
          <w:rtl/>
        </w:rPr>
      </w:pPr>
      <w:r w:rsidRPr="008C0FB5">
        <w:rPr>
          <w:rFonts w:hint="cs"/>
          <w:rtl/>
        </w:rPr>
        <w:t xml:space="preserve">وأيضاً فالقصد لا يقدح في اقتضاء السبب لحكمه، لأنه خارج عما يتم به العقد، ولهذا لو اشترى شخص عصيراً ومن نيته أن يتخذه خمراً، أو جارية ومن نيته أن يكرهها على البغاء، أو يجعلها مغنية، أو سلاحاً ومن نيته أن يقتل به معصوماً.   </w:t>
      </w:r>
    </w:p>
    <w:p w14:paraId="625E95C3" w14:textId="77777777" w:rsidR="0094067A" w:rsidRPr="008C0FB5" w:rsidRDefault="0094067A" w:rsidP="00C35031">
      <w:pPr>
        <w:pStyle w:val="35"/>
        <w:rPr>
          <w:rFonts w:hint="cs"/>
          <w:rtl/>
        </w:rPr>
      </w:pPr>
      <w:r w:rsidRPr="008C0FB5">
        <w:rPr>
          <w:rFonts w:hint="cs"/>
          <w:rtl/>
        </w:rPr>
        <w:t xml:space="preserve">فكل ذلك لا أثر له في صحة البيع من جهة انه منقطع عن السبب فلا يخرج السبب عن اقتضاء </w:t>
      </w:r>
      <w:proofErr w:type="gramStart"/>
      <w:r w:rsidRPr="008C0FB5">
        <w:rPr>
          <w:rFonts w:hint="cs"/>
          <w:rtl/>
        </w:rPr>
        <w:t>حكمه</w:t>
      </w:r>
      <w:r w:rsidRPr="008C0FB5">
        <w:rPr>
          <w:rFonts w:cs="Saihat" w:hint="cs"/>
          <w:vertAlign w:val="superscript"/>
          <w:rtl/>
        </w:rPr>
        <w:t>(</w:t>
      </w:r>
      <w:proofErr w:type="gramEnd"/>
      <w:r w:rsidRPr="008C0FB5">
        <w:rPr>
          <w:rStyle w:val="af0"/>
          <w:rFonts w:cs="Saihat"/>
          <w:sz w:val="30"/>
          <w:rtl/>
        </w:rPr>
        <w:footnoteReference w:id="203"/>
      </w:r>
      <w:r w:rsidRPr="008C0FB5">
        <w:rPr>
          <w:rFonts w:cs="Saihat" w:hint="cs"/>
          <w:vertAlign w:val="superscript"/>
          <w:rtl/>
        </w:rPr>
        <w:t>)</w:t>
      </w:r>
      <w:r w:rsidRPr="008C0FB5">
        <w:rPr>
          <w:rFonts w:hint="cs"/>
          <w:rtl/>
        </w:rPr>
        <w:t>.</w:t>
      </w:r>
    </w:p>
    <w:p w14:paraId="61A456AB" w14:textId="77777777" w:rsidR="0094067A" w:rsidRPr="008C0FB5" w:rsidRDefault="0094067A" w:rsidP="00C35031">
      <w:pPr>
        <w:pStyle w:val="35"/>
        <w:rPr>
          <w:rFonts w:hint="cs"/>
          <w:rtl/>
        </w:rPr>
      </w:pPr>
      <w:r w:rsidRPr="008C0FB5">
        <w:rPr>
          <w:rFonts w:hint="cs"/>
          <w:rtl/>
        </w:rPr>
        <w:t>ومما يؤيد ذلك ان النية إنما تعمل في اللفظ المحتمل للمنوي وغيره، مثل الكنايات ومثل أن يقول اشتريت كذا، فانه يحتمل أن يشتريه لنفسه أو لموكله فإذا نوى أحدهما صح.</w:t>
      </w:r>
    </w:p>
    <w:p w14:paraId="789DCF7C" w14:textId="77777777" w:rsidR="0094067A" w:rsidRPr="008C0FB5" w:rsidRDefault="0094067A" w:rsidP="00C35031">
      <w:pPr>
        <w:pStyle w:val="35"/>
        <w:rPr>
          <w:rFonts w:hint="cs"/>
          <w:rtl/>
        </w:rPr>
      </w:pPr>
      <w:r w:rsidRPr="008C0FB5">
        <w:rPr>
          <w:rFonts w:hint="cs"/>
          <w:rtl/>
        </w:rPr>
        <w:t xml:space="preserve">أما إذا كان السبب ظاهراً منعيناً لمسببه، لم يكن للنية الباطنة أثر في تغير حكمه، ذلك ان النية لا تؤثر في اقتضاء الأسباب الحسية والعقلية المستلزمة لمسبباتها، ولا تؤثر النية في </w:t>
      </w:r>
      <w:proofErr w:type="gramStart"/>
      <w:r w:rsidRPr="008C0FB5">
        <w:rPr>
          <w:rFonts w:hint="cs"/>
          <w:rtl/>
        </w:rPr>
        <w:t>تغيرها</w:t>
      </w:r>
      <w:r w:rsidRPr="008C0FB5">
        <w:rPr>
          <w:rFonts w:cs="Saihat" w:hint="cs"/>
          <w:vertAlign w:val="superscript"/>
          <w:rtl/>
        </w:rPr>
        <w:t>(</w:t>
      </w:r>
      <w:proofErr w:type="gramEnd"/>
      <w:r w:rsidRPr="008C0FB5">
        <w:rPr>
          <w:rStyle w:val="af0"/>
          <w:rFonts w:cs="Saihat"/>
          <w:sz w:val="30"/>
          <w:rtl/>
        </w:rPr>
        <w:footnoteReference w:id="204"/>
      </w:r>
      <w:r w:rsidRPr="008C0FB5">
        <w:rPr>
          <w:rFonts w:cs="Saihat" w:hint="cs"/>
          <w:vertAlign w:val="superscript"/>
          <w:rtl/>
        </w:rPr>
        <w:t>)</w:t>
      </w:r>
      <w:r w:rsidRPr="008C0FB5">
        <w:rPr>
          <w:rFonts w:hint="cs"/>
          <w:rtl/>
        </w:rPr>
        <w:t>، وأيضاً فنحن لنا ظواهرهم وأما ما انطوت عليه ضمائرهم وقلوبهم فأنت العالم به.</w:t>
      </w:r>
    </w:p>
    <w:p w14:paraId="592DC16E" w14:textId="77777777" w:rsidR="0094067A" w:rsidRPr="008C0FB5" w:rsidRDefault="0094067A" w:rsidP="00C35031">
      <w:pPr>
        <w:pStyle w:val="35"/>
        <w:rPr>
          <w:rFonts w:hint="cs"/>
          <w:rtl/>
        </w:rPr>
      </w:pPr>
      <w:r w:rsidRPr="008C0FB5">
        <w:rPr>
          <w:rFonts w:hint="cs"/>
          <w:rtl/>
        </w:rPr>
        <w:t xml:space="preserve">قالوا فقد ظهر عذرنا، وقامت حجتنا، فتبين انا لم نخرج فيما أصلناه، من اعتبار الظاهر وعدم الالتفات إلى القصود في العقود وإلغاء الشروط المتقدمة الخالي عنها العقد، والتحيل على التخلص من مضائق الأعيان، وما حرمه الله ورسوله من الربا وغيره، عن كتاب ربنا وسنة نبينا وأقوال السلف </w:t>
      </w:r>
      <w:proofErr w:type="gramStart"/>
      <w:r w:rsidRPr="008C0FB5">
        <w:rPr>
          <w:rFonts w:hint="cs"/>
          <w:rtl/>
        </w:rPr>
        <w:t>الطيب</w:t>
      </w:r>
      <w:r w:rsidRPr="008C0FB5">
        <w:rPr>
          <w:rFonts w:cs="Saihat" w:hint="cs"/>
          <w:vertAlign w:val="superscript"/>
          <w:rtl/>
        </w:rPr>
        <w:t>(</w:t>
      </w:r>
      <w:proofErr w:type="gramEnd"/>
      <w:r w:rsidRPr="008C0FB5">
        <w:rPr>
          <w:rStyle w:val="af0"/>
          <w:rFonts w:cs="Saihat"/>
          <w:sz w:val="30"/>
          <w:rtl/>
        </w:rPr>
        <w:footnoteReference w:id="205"/>
      </w:r>
      <w:r w:rsidRPr="008C0FB5">
        <w:rPr>
          <w:rFonts w:cs="Saihat" w:hint="cs"/>
          <w:vertAlign w:val="superscript"/>
          <w:rtl/>
        </w:rPr>
        <w:t>)</w:t>
      </w:r>
      <w:r w:rsidRPr="008C0FB5">
        <w:rPr>
          <w:rFonts w:hint="cs"/>
          <w:rtl/>
        </w:rPr>
        <w:t>.</w:t>
      </w:r>
    </w:p>
    <w:p w14:paraId="4B627CB1" w14:textId="77777777" w:rsidR="0094067A" w:rsidRPr="008C0FB5" w:rsidRDefault="00921573" w:rsidP="00C253D0">
      <w:pPr>
        <w:pStyle w:val="a0"/>
        <w:rPr>
          <w:rFonts w:hint="cs"/>
          <w:rtl/>
        </w:rPr>
      </w:pPr>
      <w:r w:rsidRPr="008C0FB5">
        <w:rPr>
          <w:rtl/>
        </w:rPr>
        <w:br w:type="page"/>
      </w:r>
      <w:bookmarkStart w:id="76" w:name="_Toc8643668"/>
      <w:r w:rsidR="0094067A" w:rsidRPr="008C0FB5">
        <w:rPr>
          <w:rFonts w:hint="cs"/>
          <w:rtl/>
        </w:rPr>
        <w:lastRenderedPageBreak/>
        <w:t>المطلب الثاني: النظرية الذاتية للباعث في الفقه الإسلامي</w:t>
      </w:r>
      <w:bookmarkEnd w:id="76"/>
    </w:p>
    <w:p w14:paraId="1C566313" w14:textId="77777777" w:rsidR="0094067A" w:rsidRPr="008C0FB5" w:rsidRDefault="0094067A" w:rsidP="00C35031">
      <w:pPr>
        <w:pStyle w:val="48"/>
        <w:rPr>
          <w:rFonts w:hint="cs"/>
          <w:rtl/>
        </w:rPr>
      </w:pPr>
      <w:r w:rsidRPr="008C0FB5">
        <w:rPr>
          <w:rFonts w:hint="cs"/>
          <w:rtl/>
        </w:rPr>
        <w:t>تعتد هذه النظرية كالنظرية السابقة بالنوايا، والمقاصد، وتجعل عدم مشروعيتها سبباً لبطلان التصرف، بيد ان الفارق بين هاتين النظريتين هو فارق من حيث الدرجة والأسلوب، فبينما تضيق النظرية الموضوعية مجال إبطال التصرفات لعدم مشروعية باعثها عن طريق اشتراط كون هذا الباعث غير المشروع جزءاً من الإرادة الظاهرة، توسع النظرية الثانية مجال إبطال التصرفات لعدم مشروعية الباعث عليها، عن طريق عدم اشتراط انتظام هذا الباعث في صلب التعبير عن الإرادة، بل هي تقتصر على الوقوف عند علم الطرف الآخر بهذا الباعث، وترى في هذا العلم ضماناً كافياً لاستقرار التعامل</w:t>
      </w:r>
      <w:r w:rsidRPr="008C0FB5">
        <w:rPr>
          <w:rFonts w:cs="Saihat" w:hint="cs"/>
          <w:vertAlign w:val="superscript"/>
          <w:rtl/>
        </w:rPr>
        <w:t>(</w:t>
      </w:r>
      <w:r w:rsidRPr="008C0FB5">
        <w:rPr>
          <w:rStyle w:val="af0"/>
          <w:rFonts w:cs="Saihat"/>
          <w:sz w:val="30"/>
          <w:rtl/>
        </w:rPr>
        <w:footnoteReference w:id="206"/>
      </w:r>
      <w:r w:rsidRPr="008C0FB5">
        <w:rPr>
          <w:rFonts w:cs="Saihat" w:hint="cs"/>
          <w:vertAlign w:val="superscript"/>
          <w:rtl/>
        </w:rPr>
        <w:t>)</w:t>
      </w:r>
      <w:r w:rsidRPr="008C0FB5">
        <w:rPr>
          <w:rFonts w:hint="cs"/>
          <w:rtl/>
        </w:rPr>
        <w:t>.</w:t>
      </w:r>
    </w:p>
    <w:p w14:paraId="3923A266" w14:textId="77777777" w:rsidR="0094067A" w:rsidRPr="008C0FB5" w:rsidRDefault="0094067A" w:rsidP="00C35031">
      <w:pPr>
        <w:pStyle w:val="35"/>
        <w:rPr>
          <w:rFonts w:hint="cs"/>
          <w:rtl/>
        </w:rPr>
      </w:pPr>
      <w:r w:rsidRPr="008C0FB5">
        <w:rPr>
          <w:rFonts w:hint="cs"/>
          <w:rtl/>
        </w:rPr>
        <w:t>ومنهج هذه النظرية الثانية في الاعتداد بالباعث، يشبه إلى حد كبير منهج نظرية القضاء الحديثة في السبب في الفقه اللاتيني.</w:t>
      </w:r>
    </w:p>
    <w:p w14:paraId="2719FC5F" w14:textId="77777777" w:rsidR="0094067A" w:rsidRPr="008C0FB5" w:rsidRDefault="0094067A" w:rsidP="00C35031">
      <w:pPr>
        <w:pStyle w:val="35"/>
        <w:rPr>
          <w:rFonts w:hint="cs"/>
          <w:rtl/>
        </w:rPr>
      </w:pPr>
      <w:r w:rsidRPr="008C0FB5">
        <w:rPr>
          <w:rFonts w:hint="cs"/>
          <w:rtl/>
        </w:rPr>
        <w:t xml:space="preserve">ولعل هذه النظرية الأخير أصدق تعبيراً عن روح الفقه الإسلامي، باعتباره منبثقاً عن شريعة دينية سمحاء، تعتد بالعوامل الخلقية والأدبية، وتقف عند طهارة </w:t>
      </w:r>
      <w:proofErr w:type="gramStart"/>
      <w:r w:rsidRPr="008C0FB5">
        <w:rPr>
          <w:rFonts w:hint="cs"/>
          <w:rtl/>
        </w:rPr>
        <w:t>النوايا</w:t>
      </w:r>
      <w:proofErr w:type="gramEnd"/>
      <w:r w:rsidRPr="008C0FB5">
        <w:rPr>
          <w:rFonts w:hint="cs"/>
          <w:rtl/>
        </w:rPr>
        <w:t>، ونظافتها من عدم المشروعية، ولأن وقفة النظرية الأولى عند الظاهر المحسوس الذي يركن إليه الناس في تعاملهم، وازورت عن سبر أعماق النفس للبحث عن النوايا الخبيثة الدافعة إلى التصرفات، فقد عبّرت في موقفها هذا عن حرصها على النزعة الموضوعية السائدة في فروع الفقه الإسلامي المختلفة.</w:t>
      </w:r>
    </w:p>
    <w:p w14:paraId="2AF38FC5" w14:textId="77777777" w:rsidR="0094067A" w:rsidRPr="008C0FB5" w:rsidRDefault="0094067A" w:rsidP="00C35031">
      <w:pPr>
        <w:pStyle w:val="35"/>
        <w:rPr>
          <w:rFonts w:hint="cs"/>
          <w:rtl/>
        </w:rPr>
      </w:pPr>
      <w:r w:rsidRPr="008C0FB5">
        <w:rPr>
          <w:rFonts w:hint="cs"/>
          <w:rtl/>
        </w:rPr>
        <w:t>وقد كان من أهم هذه المذاهب التي سارت على نهج النظرية الذاتية للباعث هم فقهاء مذهب الشيعة الإمامية وفقهاء المذهب الحنبلي والمالكي.: ولذلك قسمنا هذا المطلب إلى فروع ثلاثة تناولنا في أولها موقف المذهب الجعفري وخصصنا ثانيها لبحث موقف المذهب الحنبلي أما ثالثها فقد خصصناه لبحث موقف المذهب المالكي.</w:t>
      </w:r>
    </w:p>
    <w:p w14:paraId="5CDF4870" w14:textId="77777777" w:rsidR="0094067A" w:rsidRPr="008C0FB5" w:rsidRDefault="00921573" w:rsidP="0092249A">
      <w:pPr>
        <w:pStyle w:val="af8"/>
        <w:rPr>
          <w:rFonts w:hint="cs"/>
          <w:rtl/>
        </w:rPr>
      </w:pPr>
      <w:r w:rsidRPr="008C0FB5">
        <w:rPr>
          <w:rtl/>
        </w:rPr>
        <w:br w:type="page"/>
      </w:r>
      <w:bookmarkStart w:id="77" w:name="_Toc8643669"/>
      <w:r w:rsidR="0094067A" w:rsidRPr="008C0FB5">
        <w:rPr>
          <w:rFonts w:hint="cs"/>
          <w:rtl/>
        </w:rPr>
        <w:lastRenderedPageBreak/>
        <w:t>الفرع الأول: النظرية الذاتية في المذهب الجعفري</w:t>
      </w:r>
      <w:bookmarkEnd w:id="77"/>
    </w:p>
    <w:p w14:paraId="7CEAE2A6" w14:textId="77777777" w:rsidR="0094067A" w:rsidRPr="008C0FB5" w:rsidRDefault="0094067A" w:rsidP="00C35031">
      <w:pPr>
        <w:pStyle w:val="48"/>
        <w:rPr>
          <w:rFonts w:hint="cs"/>
          <w:rtl/>
        </w:rPr>
      </w:pPr>
      <w:r w:rsidRPr="008C0FB5">
        <w:rPr>
          <w:rFonts w:hint="cs"/>
          <w:rtl/>
        </w:rPr>
        <w:t xml:space="preserve">جاء في مفتاح الكرامة للعاملي </w:t>
      </w:r>
    </w:p>
    <w:p w14:paraId="5A060512" w14:textId="77777777" w:rsidR="0094067A" w:rsidRPr="008C0FB5" w:rsidRDefault="0094067A" w:rsidP="00A613BA">
      <w:pPr>
        <w:pStyle w:val="afffffff1"/>
        <w:rPr>
          <w:rFonts w:hint="cs"/>
          <w:rtl/>
        </w:rPr>
      </w:pPr>
      <w:r w:rsidRPr="008C0FB5">
        <w:rPr>
          <w:rFonts w:hint="cs"/>
          <w:rtl/>
        </w:rPr>
        <w:t xml:space="preserve">إجارة السفن والمساكن للمحرمات وبيع العنب ليعلم خمراً، والخشب ليعمل صنماً، ويكره بيعه على من يعمله من غير شرط، وظاهرها انه لابد أن يكون البيع لأجل ذلك أي الغاية محرمة، سواء شرطها في متن العقد أو حصل الاتفاق عليها، ويجوز مع فقد الشرط، فقد يكره بيعها على من يعمله بغير </w:t>
      </w:r>
      <w:proofErr w:type="gramStart"/>
      <w:r w:rsidRPr="008C0FB5">
        <w:rPr>
          <w:rFonts w:hint="cs"/>
          <w:rtl/>
        </w:rPr>
        <w:t>شرط</w:t>
      </w:r>
      <w:r w:rsidRPr="008C0FB5">
        <w:rPr>
          <w:rFonts w:hint="cs"/>
          <w:szCs w:val="30"/>
          <w:vertAlign w:val="superscript"/>
          <w:rtl/>
        </w:rPr>
        <w:t>(</w:t>
      </w:r>
      <w:proofErr w:type="gramEnd"/>
      <w:r w:rsidRPr="008C0FB5">
        <w:rPr>
          <w:rStyle w:val="af0"/>
          <w:sz w:val="30"/>
          <w:szCs w:val="30"/>
          <w:rtl/>
        </w:rPr>
        <w:footnoteReference w:id="207"/>
      </w:r>
      <w:r w:rsidRPr="008C0FB5">
        <w:rPr>
          <w:rFonts w:hint="cs"/>
          <w:szCs w:val="30"/>
          <w:vertAlign w:val="superscript"/>
          <w:rtl/>
        </w:rPr>
        <w:t>)</w:t>
      </w:r>
      <w:r w:rsidRPr="008C0FB5">
        <w:rPr>
          <w:rFonts w:hint="cs"/>
          <w:rtl/>
        </w:rPr>
        <w:t>.</w:t>
      </w:r>
    </w:p>
    <w:p w14:paraId="33FD6CAA" w14:textId="77777777" w:rsidR="0094067A" w:rsidRPr="008C0FB5" w:rsidRDefault="0094067A" w:rsidP="00C35031">
      <w:pPr>
        <w:pStyle w:val="35"/>
        <w:rPr>
          <w:rFonts w:hint="cs"/>
          <w:rtl/>
        </w:rPr>
      </w:pPr>
      <w:r w:rsidRPr="008C0FB5">
        <w:rPr>
          <w:rFonts w:hint="cs"/>
          <w:rtl/>
        </w:rPr>
        <w:t xml:space="preserve">وقد جاء في الخوانساري في منية الطالب: </w:t>
      </w:r>
    </w:p>
    <w:p w14:paraId="1C3E8988" w14:textId="77777777" w:rsidR="0094067A" w:rsidRPr="008C0FB5" w:rsidRDefault="0094067A" w:rsidP="00A613BA">
      <w:pPr>
        <w:pStyle w:val="afffffff1"/>
        <w:rPr>
          <w:rFonts w:hint="cs"/>
          <w:rtl/>
        </w:rPr>
      </w:pPr>
      <w:r w:rsidRPr="008C0FB5">
        <w:rPr>
          <w:rFonts w:hint="cs"/>
          <w:rtl/>
        </w:rPr>
        <w:t xml:space="preserve">إن الصحة والفساد والحلية والحرمة دائرة مدار قصد المحلل </w:t>
      </w:r>
      <w:proofErr w:type="gramStart"/>
      <w:r w:rsidRPr="008C0FB5">
        <w:rPr>
          <w:rFonts w:hint="cs"/>
          <w:rtl/>
        </w:rPr>
        <w:t>والمحرم</w:t>
      </w:r>
      <w:r w:rsidRPr="008C0FB5">
        <w:rPr>
          <w:rFonts w:hint="cs"/>
          <w:szCs w:val="30"/>
          <w:vertAlign w:val="superscript"/>
          <w:rtl/>
        </w:rPr>
        <w:t>(</w:t>
      </w:r>
      <w:proofErr w:type="gramEnd"/>
      <w:r w:rsidRPr="008C0FB5">
        <w:rPr>
          <w:rStyle w:val="af0"/>
          <w:sz w:val="30"/>
          <w:szCs w:val="30"/>
          <w:rtl/>
        </w:rPr>
        <w:footnoteReference w:id="208"/>
      </w:r>
      <w:r w:rsidRPr="008C0FB5">
        <w:rPr>
          <w:rFonts w:hint="cs"/>
          <w:szCs w:val="30"/>
          <w:vertAlign w:val="superscript"/>
          <w:rtl/>
        </w:rPr>
        <w:t>)</w:t>
      </w:r>
      <w:r w:rsidRPr="008C0FB5">
        <w:rPr>
          <w:rFonts w:hint="cs"/>
          <w:rtl/>
        </w:rPr>
        <w:t>.</w:t>
      </w:r>
    </w:p>
    <w:p w14:paraId="262EDCBB" w14:textId="77777777" w:rsidR="0094067A" w:rsidRPr="008C0FB5" w:rsidRDefault="0094067A" w:rsidP="00C35031">
      <w:pPr>
        <w:pStyle w:val="35"/>
        <w:rPr>
          <w:rFonts w:hint="cs"/>
          <w:rtl/>
        </w:rPr>
      </w:pPr>
      <w:r w:rsidRPr="008C0FB5">
        <w:rPr>
          <w:rFonts w:hint="cs"/>
          <w:rtl/>
        </w:rPr>
        <w:t xml:space="preserve">ويقول أيضاً في موضع آخر: </w:t>
      </w:r>
    </w:p>
    <w:p w14:paraId="6ED6BFDB" w14:textId="77777777" w:rsidR="0094067A" w:rsidRPr="008C0FB5" w:rsidRDefault="0094067A" w:rsidP="00A613BA">
      <w:pPr>
        <w:pStyle w:val="afffffff1"/>
        <w:rPr>
          <w:rFonts w:hint="cs"/>
          <w:rtl/>
        </w:rPr>
      </w:pPr>
      <w:r w:rsidRPr="008C0FB5">
        <w:rPr>
          <w:rFonts w:hint="cs"/>
          <w:rtl/>
        </w:rPr>
        <w:t xml:space="preserve">... وبالجملة، تبعية العقد للقصد إنما هي ولأجل صحة ذلك العقد، بمعنى ترتب الأثر المقصود عليه، فلا يعقل الكم بالصحة مع عدم ترتب الأثر المقصود </w:t>
      </w:r>
      <w:proofErr w:type="gramStart"/>
      <w:r w:rsidRPr="008C0FB5">
        <w:rPr>
          <w:rFonts w:hint="cs"/>
          <w:rtl/>
        </w:rPr>
        <w:t>عليه</w:t>
      </w:r>
      <w:r w:rsidRPr="008C0FB5">
        <w:rPr>
          <w:rFonts w:hint="cs"/>
          <w:szCs w:val="30"/>
          <w:vertAlign w:val="superscript"/>
          <w:rtl/>
        </w:rPr>
        <w:t>(</w:t>
      </w:r>
      <w:proofErr w:type="gramEnd"/>
      <w:r w:rsidRPr="008C0FB5">
        <w:rPr>
          <w:rStyle w:val="af0"/>
          <w:sz w:val="30"/>
          <w:szCs w:val="30"/>
          <w:rtl/>
        </w:rPr>
        <w:footnoteReference w:id="209"/>
      </w:r>
      <w:r w:rsidRPr="008C0FB5">
        <w:rPr>
          <w:rFonts w:hint="cs"/>
          <w:szCs w:val="30"/>
          <w:vertAlign w:val="superscript"/>
          <w:rtl/>
        </w:rPr>
        <w:t>)</w:t>
      </w:r>
      <w:r w:rsidRPr="008C0FB5">
        <w:rPr>
          <w:rFonts w:hint="cs"/>
          <w:rtl/>
        </w:rPr>
        <w:t>.</w:t>
      </w:r>
    </w:p>
    <w:p w14:paraId="3F8B312A" w14:textId="77777777" w:rsidR="0094067A" w:rsidRPr="008C0FB5" w:rsidRDefault="0094067A" w:rsidP="00C35031">
      <w:pPr>
        <w:pStyle w:val="35"/>
        <w:rPr>
          <w:rFonts w:hint="cs"/>
          <w:rtl/>
        </w:rPr>
      </w:pPr>
      <w:r w:rsidRPr="008C0FB5">
        <w:rPr>
          <w:rFonts w:hint="cs"/>
          <w:rtl/>
        </w:rPr>
        <w:t xml:space="preserve">ويقول الأستاذ بدرو ديب: </w:t>
      </w:r>
    </w:p>
    <w:p w14:paraId="59E9F4CB" w14:textId="77777777" w:rsidR="0094067A" w:rsidRPr="008C0FB5" w:rsidRDefault="0094067A" w:rsidP="00A613BA">
      <w:pPr>
        <w:pStyle w:val="afffffff1"/>
        <w:rPr>
          <w:rFonts w:hint="cs"/>
          <w:rtl/>
        </w:rPr>
      </w:pPr>
      <w:r w:rsidRPr="008C0FB5">
        <w:rPr>
          <w:rFonts w:hint="cs"/>
          <w:rtl/>
        </w:rPr>
        <w:t>إن الأحكام التي يقررها المذهب الجعفري في هذه المسألة، تنطوي على كثير من المرونة، والتنوع، فإذا أخذنا بالمثل المأثور الخاص ببيع عصير العنب، وهو المثل الذي تتلاقى عنده المذاهب المختلفة ويصلح أن يكون معياراً مشتركاً لها جميعاً نجد أن فقهاء الجعفرية يبدأون بالتمييز بين ما إذا كان العصير متخمراً أم لا، فإذا كان متخمراً، فالبيع لا يجوز، لأن حالة المبيع تنم عما تنطوي عليه الصفقة من مخالفة للمشرع، أما إذا لم يكن العصير متخمراً وجب التمييز بين ما إذا كانت نية المشتري قد تكشفت أو لم تتكشف، فإن كان قد تكشفت، بأن ذكر المشتري صراحة في العقد انه أراد العصير لاتخاذه خمراً فلا خلاف في بطلان البيع، أما إذا لم تتكشف نية المشتري فهنا أيضاً يجب التمييز بين ما إذا كان البائع يجهل ما يقصد إليه المشتري أو كان يعلم ذلك، فإن كان يجهل قصد المشتري فالبيع صحيح، أما إذا كان يعلم هذا القصد، وجب التمييز مرة أخرى بين ما إذا كان البائع متواطئ مع المشتري في تنفيذ قصده، أو كان لا شأن له بذلك، وإنما هو يقوم بشأن مألوف من شؤون التجارة ففي الحالة الأولى يكون البيع غير جائز أما في الحالة الثانية فقد اختلفت الآراء غذ يرى بعض الفقهاء ان البيع يبقى غير جائز، ولكن الكثرة يذهبون إلى ان البيع صحيح ولكنه يكون مكروهاً وتسري هذه الأحكام في الأحوال المماثلة، كإيجار السفن، والمساكن لأغراض غير مشروعة، وكبيع الخشب لصنعه أصناماً</w:t>
      </w:r>
      <w:r w:rsidRPr="008C0FB5">
        <w:rPr>
          <w:rFonts w:hint="cs"/>
          <w:szCs w:val="30"/>
          <w:vertAlign w:val="superscript"/>
          <w:rtl/>
        </w:rPr>
        <w:t>(</w:t>
      </w:r>
      <w:r w:rsidRPr="008C0FB5">
        <w:rPr>
          <w:rStyle w:val="af0"/>
          <w:sz w:val="30"/>
          <w:szCs w:val="30"/>
          <w:rtl/>
        </w:rPr>
        <w:footnoteReference w:id="210"/>
      </w:r>
      <w:r w:rsidRPr="008C0FB5">
        <w:rPr>
          <w:rFonts w:hint="cs"/>
          <w:szCs w:val="30"/>
          <w:vertAlign w:val="superscript"/>
          <w:rtl/>
        </w:rPr>
        <w:t>)</w:t>
      </w:r>
      <w:r w:rsidRPr="008C0FB5">
        <w:rPr>
          <w:rFonts w:hint="cs"/>
          <w:rtl/>
        </w:rPr>
        <w:t>.</w:t>
      </w:r>
    </w:p>
    <w:p w14:paraId="7F60F618" w14:textId="77777777" w:rsidR="0094067A" w:rsidRPr="008C0FB5" w:rsidRDefault="0094067A" w:rsidP="00C35031">
      <w:pPr>
        <w:pStyle w:val="35"/>
        <w:rPr>
          <w:rFonts w:hint="cs"/>
          <w:rtl/>
        </w:rPr>
      </w:pPr>
      <w:r w:rsidRPr="008C0FB5">
        <w:rPr>
          <w:rFonts w:hint="cs"/>
          <w:rtl/>
        </w:rPr>
        <w:t xml:space="preserve">وقد جاء في الروضة البهية في شرح اللمعة الدمشقية </w:t>
      </w:r>
    </w:p>
    <w:p w14:paraId="45CDFB91" w14:textId="77777777" w:rsidR="0094067A" w:rsidRPr="008C0FB5" w:rsidRDefault="0094067A" w:rsidP="00A613BA">
      <w:pPr>
        <w:pStyle w:val="afffffff1"/>
        <w:rPr>
          <w:rFonts w:hint="cs"/>
          <w:rtl/>
        </w:rPr>
      </w:pPr>
      <w:r w:rsidRPr="008C0FB5">
        <w:rPr>
          <w:rFonts w:hint="cs"/>
          <w:rtl/>
        </w:rPr>
        <w:t xml:space="preserve">وآلات الهو من الدف والمزمار والقصب وغيرها، والصن المستخدمة لعبادة الكفار والصليب الذي يبتدعه النصارى، وآلات القمار كالنرد والشطرنج، وبيع السلاح من السيف والرمح والقوس والسهام ونحوها لأعداء الدين مسلمين كانوا أو كفاراً ومنهم قطاع الطريق في حال الحرب أو التهيؤ له لا مطلقاً، وإجارة المساكن والحمولة وهي الحيوان الذي يصلح للحمل كالإبل والبغال والحمير، والسفن داخلة فيه تبعاً للمحرم، وبيع العنب والتمر وغيرهما مما يعمل منه المسكر ليعمل مسكراً سواء شرطه في العقد أم حصل الاتفاق عليه والخشب ليصنع صنماً أو غيره من </w:t>
      </w:r>
      <w:r w:rsidRPr="008C0FB5">
        <w:rPr>
          <w:rFonts w:hint="cs"/>
          <w:rtl/>
        </w:rPr>
        <w:lastRenderedPageBreak/>
        <w:t>الآلات المحرمة، ويكره بيعه لمن يعمله من غير أن يعلمه إذا لم يعلم انه يعمله، وإلا فالأجود التحريم وغلبة الظن كالعلم، وقيل يحرم ممن يعمله مطلقاً</w:t>
      </w:r>
      <w:r w:rsidRPr="008C0FB5">
        <w:rPr>
          <w:rFonts w:hint="cs"/>
          <w:szCs w:val="30"/>
          <w:vertAlign w:val="superscript"/>
          <w:rtl/>
        </w:rPr>
        <w:t>(</w:t>
      </w:r>
      <w:r w:rsidRPr="008C0FB5">
        <w:rPr>
          <w:rStyle w:val="af0"/>
          <w:sz w:val="30"/>
          <w:szCs w:val="30"/>
          <w:rtl/>
        </w:rPr>
        <w:footnoteReference w:id="211"/>
      </w:r>
      <w:r w:rsidRPr="008C0FB5">
        <w:rPr>
          <w:rFonts w:hint="cs"/>
          <w:szCs w:val="30"/>
          <w:vertAlign w:val="superscript"/>
          <w:rtl/>
        </w:rPr>
        <w:t>)</w:t>
      </w:r>
      <w:r w:rsidRPr="008C0FB5">
        <w:rPr>
          <w:rFonts w:hint="cs"/>
          <w:rtl/>
        </w:rPr>
        <w:t xml:space="preserve">.        </w:t>
      </w:r>
    </w:p>
    <w:p w14:paraId="0A38C577" w14:textId="77777777" w:rsidR="0094067A" w:rsidRPr="008C0FB5" w:rsidRDefault="0094067A" w:rsidP="00C35031">
      <w:pPr>
        <w:pStyle w:val="35"/>
        <w:rPr>
          <w:rFonts w:hint="cs"/>
          <w:rtl/>
        </w:rPr>
      </w:pPr>
      <w:r w:rsidRPr="008C0FB5">
        <w:rPr>
          <w:rFonts w:hint="cs"/>
          <w:rtl/>
        </w:rPr>
        <w:t xml:space="preserve">وقد جاء أيضاً في كتاب المكاسب </w:t>
      </w:r>
    </w:p>
    <w:p w14:paraId="3EFC2D43" w14:textId="77777777" w:rsidR="0094067A" w:rsidRPr="008C0FB5" w:rsidRDefault="0094067A" w:rsidP="00A613BA">
      <w:pPr>
        <w:pStyle w:val="afffffff1"/>
        <w:rPr>
          <w:rFonts w:hint="cs"/>
          <w:rtl/>
        </w:rPr>
      </w:pPr>
      <w:r w:rsidRPr="008C0FB5">
        <w:rPr>
          <w:rFonts w:hint="cs"/>
          <w:rtl/>
        </w:rPr>
        <w:t xml:space="preserve">يحرم بيع العنب ممن يعمله خمراً بقصد أن يعمله، وكذا بيع الخشب يقصد أن يعمله صنماً أو صليباً، لأن فيه إعانة على الإثم والعدوان، ولا إشكال ولا خلاف في ذلك، أما لو لم يقصد ذلك فالأكثر عدم </w:t>
      </w:r>
      <w:proofErr w:type="gramStart"/>
      <w:r w:rsidRPr="008C0FB5">
        <w:rPr>
          <w:rFonts w:hint="cs"/>
          <w:rtl/>
        </w:rPr>
        <w:t>التحريم</w:t>
      </w:r>
      <w:r w:rsidRPr="008C0FB5">
        <w:rPr>
          <w:rFonts w:hint="cs"/>
          <w:szCs w:val="30"/>
          <w:vertAlign w:val="superscript"/>
          <w:rtl/>
        </w:rPr>
        <w:t>(</w:t>
      </w:r>
      <w:proofErr w:type="gramEnd"/>
      <w:r w:rsidRPr="008C0FB5">
        <w:rPr>
          <w:rStyle w:val="af0"/>
          <w:sz w:val="30"/>
          <w:szCs w:val="30"/>
          <w:rtl/>
        </w:rPr>
        <w:footnoteReference w:id="212"/>
      </w:r>
      <w:r w:rsidRPr="008C0FB5">
        <w:rPr>
          <w:rFonts w:hint="cs"/>
          <w:szCs w:val="30"/>
          <w:vertAlign w:val="superscript"/>
          <w:rtl/>
        </w:rPr>
        <w:t>)</w:t>
      </w:r>
      <w:r w:rsidRPr="008C0FB5">
        <w:rPr>
          <w:rFonts w:hint="cs"/>
          <w:rtl/>
        </w:rPr>
        <w:t>.</w:t>
      </w:r>
    </w:p>
    <w:p w14:paraId="6B6144AB" w14:textId="77777777" w:rsidR="0094067A" w:rsidRPr="008C0FB5" w:rsidRDefault="0094067A" w:rsidP="00C35031">
      <w:pPr>
        <w:pStyle w:val="35"/>
        <w:rPr>
          <w:rFonts w:hint="cs"/>
          <w:rtl/>
        </w:rPr>
      </w:pPr>
      <w:r w:rsidRPr="008C0FB5">
        <w:rPr>
          <w:rFonts w:hint="cs"/>
          <w:rtl/>
        </w:rPr>
        <w:t xml:space="preserve">وقد ذكر الخوانساري في كتابه منية الطالب قولاً يصلح أن يكون قاعدة عامة تنطبق على حالات كثيرة الذي هو </w:t>
      </w:r>
    </w:p>
    <w:p w14:paraId="0D945274" w14:textId="77777777" w:rsidR="0094067A" w:rsidRPr="008C0FB5" w:rsidRDefault="0094067A" w:rsidP="00A613BA">
      <w:pPr>
        <w:pStyle w:val="afffffff1"/>
        <w:rPr>
          <w:rFonts w:hint="cs"/>
          <w:rtl/>
        </w:rPr>
      </w:pPr>
      <w:r w:rsidRPr="008C0FB5">
        <w:rPr>
          <w:rFonts w:hint="cs"/>
          <w:rtl/>
        </w:rPr>
        <w:t xml:space="preserve">كل فعل لا يقع الحرام </w:t>
      </w:r>
      <w:proofErr w:type="gramStart"/>
      <w:r w:rsidRPr="008C0FB5">
        <w:rPr>
          <w:rFonts w:hint="cs"/>
          <w:rtl/>
        </w:rPr>
        <w:t>به</w:t>
      </w:r>
      <w:proofErr w:type="gramEnd"/>
      <w:r w:rsidRPr="008C0FB5">
        <w:rPr>
          <w:rFonts w:hint="cs"/>
          <w:rtl/>
        </w:rPr>
        <w:t xml:space="preserve"> بل يتوقف على أمور أخرى، كبيع العنب ممن يجعله خمراً، فهذا لا يندرج تحت الإعانة على الإثم إلا إذا قصد البائع به توصيل المشتري بالعنب إلى التخمير. فإن الشراء الذي هو مقدمة الحرام وإن لم يكن بحرام، إلا ان البائع حيث قصد من بيعه كون المشتري متمكناً من التخمير فيندرج تحت الإعانة على الإثم، ثم انه قد يستدل بحرمة بيع العنب ممن يعلم انه يعمله خمراً بأن دفع المنكر واجب، ولا يتم ذلك إلا بترك البيع فيجب تركه، فيحرم </w:t>
      </w:r>
      <w:proofErr w:type="gramStart"/>
      <w:r w:rsidRPr="008C0FB5">
        <w:rPr>
          <w:rFonts w:hint="cs"/>
          <w:rtl/>
        </w:rPr>
        <w:t>الفعل</w:t>
      </w:r>
      <w:r w:rsidRPr="008C0FB5">
        <w:rPr>
          <w:rFonts w:hint="cs"/>
          <w:szCs w:val="30"/>
          <w:vertAlign w:val="superscript"/>
          <w:rtl/>
        </w:rPr>
        <w:t>(</w:t>
      </w:r>
      <w:proofErr w:type="gramEnd"/>
      <w:r w:rsidRPr="008C0FB5">
        <w:rPr>
          <w:rStyle w:val="af0"/>
          <w:sz w:val="30"/>
          <w:szCs w:val="30"/>
          <w:rtl/>
        </w:rPr>
        <w:footnoteReference w:id="213"/>
      </w:r>
      <w:r w:rsidRPr="008C0FB5">
        <w:rPr>
          <w:rFonts w:hint="cs"/>
          <w:szCs w:val="30"/>
          <w:vertAlign w:val="superscript"/>
          <w:rtl/>
        </w:rPr>
        <w:t>)</w:t>
      </w:r>
      <w:r w:rsidRPr="008C0FB5">
        <w:rPr>
          <w:rFonts w:hint="cs"/>
          <w:rtl/>
        </w:rPr>
        <w:t xml:space="preserve">.  </w:t>
      </w:r>
    </w:p>
    <w:p w14:paraId="0E2BE936" w14:textId="77777777" w:rsidR="0094067A" w:rsidRPr="008C0FB5" w:rsidRDefault="0094067A" w:rsidP="00C35031">
      <w:pPr>
        <w:pStyle w:val="35"/>
        <w:rPr>
          <w:rFonts w:hint="cs"/>
          <w:rtl/>
        </w:rPr>
      </w:pPr>
      <w:r w:rsidRPr="008C0FB5">
        <w:rPr>
          <w:rFonts w:hint="cs"/>
          <w:rtl/>
        </w:rPr>
        <w:t>ومن الملاحظ على هذا القول انه يبدأ بجملة (كل فعل) وهذا التعميم يصلح لأن يكون اساساً لقاعدة عامة تشمل حالات كثيرة لا مسألة من المسائل كالقول السابق الذي بدأ بجملة (يحرم بيع العنب).</w:t>
      </w:r>
    </w:p>
    <w:p w14:paraId="459E7184" w14:textId="77777777" w:rsidR="0094067A" w:rsidRPr="008C0FB5" w:rsidRDefault="0094067A" w:rsidP="00C35031">
      <w:pPr>
        <w:pStyle w:val="35"/>
        <w:rPr>
          <w:rFonts w:hint="cs"/>
          <w:rtl/>
        </w:rPr>
      </w:pPr>
      <w:r w:rsidRPr="008C0FB5">
        <w:rPr>
          <w:rFonts w:hint="cs"/>
          <w:rtl/>
        </w:rPr>
        <w:t xml:space="preserve">وكذلك ما جاء على لسان السيد السيستاني من انه </w:t>
      </w:r>
    </w:p>
    <w:p w14:paraId="6A75B7EE" w14:textId="77777777" w:rsidR="0094067A" w:rsidRPr="008C0FB5" w:rsidRDefault="0094067A" w:rsidP="00A613BA">
      <w:pPr>
        <w:pStyle w:val="afffffff1"/>
        <w:rPr>
          <w:rFonts w:hint="cs"/>
          <w:rtl/>
        </w:rPr>
      </w:pPr>
      <w:r w:rsidRPr="008C0FB5">
        <w:rPr>
          <w:rFonts w:hint="cs"/>
          <w:rtl/>
        </w:rPr>
        <w:t xml:space="preserve">وبيع ما لا ينتفع به إلا بالحرام مثل آلات القمار وآلات اللهو المحرم كالمزمار </w:t>
      </w:r>
      <w:proofErr w:type="gramStart"/>
      <w:r w:rsidRPr="008C0FB5">
        <w:rPr>
          <w:rFonts w:hint="cs"/>
          <w:rtl/>
        </w:rPr>
        <w:t>حرام</w:t>
      </w:r>
      <w:r w:rsidRPr="008C0FB5">
        <w:rPr>
          <w:rFonts w:hint="cs"/>
          <w:szCs w:val="30"/>
          <w:vertAlign w:val="superscript"/>
          <w:rtl/>
        </w:rPr>
        <w:t>(</w:t>
      </w:r>
      <w:proofErr w:type="gramEnd"/>
      <w:r w:rsidRPr="008C0FB5">
        <w:rPr>
          <w:rStyle w:val="af0"/>
          <w:sz w:val="30"/>
          <w:szCs w:val="30"/>
          <w:rtl/>
        </w:rPr>
        <w:footnoteReference w:id="214"/>
      </w:r>
      <w:r w:rsidRPr="008C0FB5">
        <w:rPr>
          <w:rFonts w:hint="cs"/>
          <w:szCs w:val="30"/>
          <w:vertAlign w:val="superscript"/>
          <w:rtl/>
        </w:rPr>
        <w:t>)</w:t>
      </w:r>
      <w:r w:rsidRPr="008C0FB5">
        <w:rPr>
          <w:rFonts w:hint="cs"/>
          <w:rtl/>
        </w:rPr>
        <w:t>.</w:t>
      </w:r>
    </w:p>
    <w:p w14:paraId="411E23A4" w14:textId="77777777" w:rsidR="0094067A" w:rsidRPr="008C0FB5" w:rsidRDefault="0094067A" w:rsidP="00C35031">
      <w:pPr>
        <w:pStyle w:val="35"/>
        <w:rPr>
          <w:rFonts w:hint="cs"/>
          <w:rtl/>
        </w:rPr>
      </w:pPr>
      <w:r w:rsidRPr="008C0FB5">
        <w:rPr>
          <w:rFonts w:hint="cs"/>
          <w:rtl/>
        </w:rPr>
        <w:t xml:space="preserve">وقد أورد الإمام الخميني كيف لن بيع الأصنام قد يكون جائزاً وقد يكون غير جائز ذلك حسب الباعث على شرائها فقد جاء على لسانه </w:t>
      </w:r>
    </w:p>
    <w:p w14:paraId="3C4A1FEC" w14:textId="77777777" w:rsidR="0094067A" w:rsidRPr="008C0FB5" w:rsidRDefault="0094067A" w:rsidP="00A613BA">
      <w:pPr>
        <w:pStyle w:val="afffffff1"/>
        <w:rPr>
          <w:rFonts w:hint="cs"/>
          <w:rtl/>
        </w:rPr>
      </w:pPr>
      <w:r w:rsidRPr="008C0FB5">
        <w:rPr>
          <w:rFonts w:hint="cs"/>
          <w:rtl/>
        </w:rPr>
        <w:t xml:space="preserve">ان هياكل العبادات المخترعة مثل الأصنام... من حرمة بيعها والمعاوضة عليها بعنوانها، وعن حرمة ثمنها بعنوانه، وعن بطلان المعاملة بها المترتب عليه كونه ثمنها مقبوضاً بالمعاملة الفاسدة. ثم ان المعاملة كالبيع مثلاً قد تقع بها للغاية المحرمة، كما باع الصنم للعبادة بنحو التواطؤ عليها، أو بنحو الاشتراط في ضمن العقد، وقد يبيع ممن يصدر منه الحرام كبيعها ممن يعبدها، أو ممن يبيعها ممن يعبدها كبيع الصنم من مسلم يبيعه من الوثني، وقد تقع المعاملة مع العلم بعدم ترتب الحرام عليها أما للعلم بأن المسلم المشتري لا يسلمها إلى الوثني، أو لانقراض الطائفة التي تعبدها، كما لو أخرج صنم من الحفريات عن الآثار القديمة البائدة الهالك أهلها وانقرضت الطائفة التي تعبدها، وإنما يشتريها قوم لحفظ الآثار العتيقة، كما تعلق به أغراض العقلاء أحياناً وإنما يشتريها لهيئتها وصورتها الصنمية بما انها من الآثار القديمة. وقد تباع لغرض كسرها، وهو تارة يرجع إلى المشتري كمن أراد أن يشتهر بين الناس بأنه كاسر الأصنام، أو أراد الثواب الأخروي، وأخرى ان البائع من عجز عن كسرها أو كان له مؤونة أراد تحميلها على المشتري، إلى غيرها من الصور، لا ينبغي الإشكال في حرمة بيعها وبطلانه في الصور التي يترتب عليها الحرام، لاستقلال العقل بقبح ما يترتب عليه عبادة الأوثان ومبغوضيته، بل قبح تنفيذ البيع وإيجاب الوفاء بالعقد المترتب عليه عبادة غير الله </w:t>
      </w:r>
      <w:r w:rsidRPr="008C0FB5">
        <w:rPr>
          <w:rFonts w:ascii="Times New Roman" w:hAnsi="Times New Roman" w:cs="Times New Roman" w:hint="cs"/>
          <w:rtl/>
        </w:rPr>
        <w:t>–</w:t>
      </w:r>
      <w:r w:rsidRPr="008C0FB5">
        <w:rPr>
          <w:rFonts w:hint="cs"/>
          <w:rtl/>
        </w:rPr>
        <w:t xml:space="preserve"> تعالى </w:t>
      </w:r>
      <w:r w:rsidRPr="008C0FB5">
        <w:rPr>
          <w:rFonts w:ascii="Times New Roman" w:hAnsi="Times New Roman" w:cs="Times New Roman" w:hint="cs"/>
          <w:rtl/>
        </w:rPr>
        <w:t>–</w:t>
      </w:r>
      <w:r w:rsidRPr="008C0FB5">
        <w:rPr>
          <w:rFonts w:hint="cs"/>
          <w:rtl/>
        </w:rPr>
        <w:t xml:space="preserve"> بل لو ادعى أحد القطع بأن الشارع الأقدس </w:t>
      </w:r>
      <w:r w:rsidRPr="008C0FB5">
        <w:rPr>
          <w:rFonts w:hint="cs"/>
          <w:rtl/>
        </w:rPr>
        <w:lastRenderedPageBreak/>
        <w:t>الذي لا يرضى ببيع الخمر وشرائها وعصرها ولعن بائعها ومشتريها وحرم ثمنها وجعله سحتاً، لا يرضى بذلك في الصنم ولا يرضى ببيعه وشرائه ونحوهما</w:t>
      </w:r>
      <w:r w:rsidRPr="008C0FB5">
        <w:rPr>
          <w:rFonts w:hint="cs"/>
          <w:szCs w:val="30"/>
          <w:vertAlign w:val="superscript"/>
          <w:rtl/>
        </w:rPr>
        <w:t>(</w:t>
      </w:r>
      <w:r w:rsidRPr="008C0FB5">
        <w:rPr>
          <w:rStyle w:val="af0"/>
          <w:sz w:val="30"/>
          <w:szCs w:val="30"/>
          <w:rtl/>
        </w:rPr>
        <w:footnoteReference w:id="215"/>
      </w:r>
      <w:r w:rsidRPr="008C0FB5">
        <w:rPr>
          <w:rFonts w:hint="cs"/>
          <w:szCs w:val="30"/>
          <w:vertAlign w:val="superscript"/>
          <w:rtl/>
        </w:rPr>
        <w:t>)</w:t>
      </w:r>
      <w:r w:rsidRPr="008C0FB5">
        <w:rPr>
          <w:rFonts w:hint="cs"/>
          <w:rtl/>
        </w:rPr>
        <w:t xml:space="preserve">.    </w:t>
      </w:r>
    </w:p>
    <w:p w14:paraId="02B7764E" w14:textId="77777777" w:rsidR="0094067A" w:rsidRPr="008C0FB5" w:rsidRDefault="0094067A" w:rsidP="00C35031">
      <w:pPr>
        <w:pStyle w:val="35"/>
        <w:rPr>
          <w:rFonts w:hint="cs"/>
          <w:rtl/>
        </w:rPr>
      </w:pPr>
      <w:r w:rsidRPr="008C0FB5">
        <w:rPr>
          <w:rFonts w:hint="cs"/>
          <w:rtl/>
        </w:rPr>
        <w:t xml:space="preserve">ويذكر في موقع آخر </w:t>
      </w:r>
    </w:p>
    <w:p w14:paraId="53425272" w14:textId="77777777" w:rsidR="0094067A" w:rsidRPr="008C0FB5" w:rsidRDefault="0094067A" w:rsidP="00A613BA">
      <w:pPr>
        <w:pStyle w:val="afffffff1"/>
        <w:rPr>
          <w:rFonts w:hint="cs"/>
          <w:rtl/>
        </w:rPr>
      </w:pPr>
      <w:r w:rsidRPr="008C0FB5">
        <w:rPr>
          <w:rFonts w:hint="cs"/>
          <w:rtl/>
        </w:rPr>
        <w:t>إن الأدلة قاصرة عن إثبات الحكم للصورة التي يعلم بعدم ترتب الحرام عليها، سيما في صورة انقراض الطائفة الخبيثة، العابدة لها وعدم احتمال عابد لها ولو في الاستقبال احتمالاً عقلائياً، ضرورة عدم شمول الأدلة اللفظية ولا معقد عدم الخلاف والإجماع لها وانصرافها عنها.</w:t>
      </w:r>
    </w:p>
    <w:p w14:paraId="3261BD87" w14:textId="77777777" w:rsidR="0094067A" w:rsidRPr="008C0FB5" w:rsidRDefault="0094067A" w:rsidP="00A613BA">
      <w:pPr>
        <w:pStyle w:val="afffffff1"/>
        <w:rPr>
          <w:rFonts w:hint="cs"/>
          <w:rtl/>
        </w:rPr>
      </w:pPr>
      <w:r w:rsidRPr="008C0FB5">
        <w:rPr>
          <w:rFonts w:hint="cs"/>
          <w:rtl/>
        </w:rPr>
        <w:t xml:space="preserve">بل لا يعد عدم شمولها كما إذا بيع الصنم الذي مورد العبادة ممن يخرجه عن تحت يد عابديه ويحفظه بعنوان الآثار العتيقة في المحال المعدة لها، فينقطع بذلك عن أيدي عبدته، وأن لا يخلو عن إشكال في هذه الصورة، بل يمكن استصحاب وجوب الكسر وحرمة البيع ونفي المالية وبطلان المعاملة وسحتة الثمن فيها، على إشكال ناشئ من الإشكال في جريان الاستصحاب في الأحكام المنكشفة عن حكم </w:t>
      </w:r>
      <w:proofErr w:type="gramStart"/>
      <w:r w:rsidRPr="008C0FB5">
        <w:rPr>
          <w:rFonts w:hint="cs"/>
          <w:rtl/>
        </w:rPr>
        <w:t>العقل</w:t>
      </w:r>
      <w:r w:rsidRPr="008C0FB5">
        <w:rPr>
          <w:rFonts w:hint="cs"/>
          <w:szCs w:val="30"/>
          <w:vertAlign w:val="superscript"/>
          <w:rtl/>
        </w:rPr>
        <w:t>(</w:t>
      </w:r>
      <w:proofErr w:type="gramEnd"/>
      <w:r w:rsidRPr="008C0FB5">
        <w:rPr>
          <w:rStyle w:val="af0"/>
          <w:sz w:val="30"/>
          <w:szCs w:val="30"/>
          <w:rtl/>
        </w:rPr>
        <w:footnoteReference w:id="216"/>
      </w:r>
      <w:r w:rsidRPr="008C0FB5">
        <w:rPr>
          <w:rFonts w:hint="cs"/>
          <w:szCs w:val="30"/>
          <w:vertAlign w:val="superscript"/>
          <w:rtl/>
        </w:rPr>
        <w:t>)</w:t>
      </w:r>
      <w:r w:rsidRPr="008C0FB5">
        <w:rPr>
          <w:rFonts w:hint="cs"/>
          <w:rtl/>
        </w:rPr>
        <w:t>.</w:t>
      </w:r>
    </w:p>
    <w:p w14:paraId="6AB0B3EA" w14:textId="77777777" w:rsidR="0094067A" w:rsidRPr="008C0FB5" w:rsidRDefault="0094067A" w:rsidP="00C35031">
      <w:pPr>
        <w:pStyle w:val="35"/>
        <w:rPr>
          <w:rFonts w:hint="cs"/>
          <w:rtl/>
        </w:rPr>
      </w:pPr>
      <w:r w:rsidRPr="008C0FB5">
        <w:rPr>
          <w:rFonts w:hint="cs"/>
          <w:rtl/>
        </w:rPr>
        <w:t xml:space="preserve">وبهذا نختتم الكلام عن الفقه الجعفري ونجد ان للباعث في هذا المذهب دور مهم وواسع في إباحة وتحريم العقود ذلك حسب ما إذا كان الباعث حسناً أو سيئاً ولذلك فالفقه الجعفري يُعد بحث من نصرة النظرية الذاتية للباعث. </w:t>
      </w:r>
    </w:p>
    <w:p w14:paraId="17F309FA" w14:textId="77777777" w:rsidR="0094067A" w:rsidRPr="008C0FB5" w:rsidRDefault="0094067A" w:rsidP="00D04880">
      <w:pPr>
        <w:pStyle w:val="af8"/>
        <w:rPr>
          <w:rFonts w:hint="cs"/>
          <w:rtl/>
          <w:lang w:bidi="ar-IQ"/>
        </w:rPr>
      </w:pPr>
      <w:bookmarkStart w:id="78" w:name="_Toc8643670"/>
      <w:r w:rsidRPr="008C0FB5">
        <w:rPr>
          <w:rFonts w:hint="cs"/>
          <w:rtl/>
          <w:lang w:bidi="ar-IQ"/>
        </w:rPr>
        <w:t xml:space="preserve">الفرع الثاني: </w:t>
      </w:r>
      <w:r w:rsidRPr="008C0FB5">
        <w:rPr>
          <w:rFonts w:hint="cs"/>
          <w:rtl/>
        </w:rPr>
        <w:t>النظرية الذاتية في المذهب الحنبلي</w:t>
      </w:r>
      <w:bookmarkEnd w:id="78"/>
    </w:p>
    <w:p w14:paraId="61D279DC" w14:textId="77777777" w:rsidR="0094067A" w:rsidRPr="008C0FB5" w:rsidRDefault="0094067A" w:rsidP="00C35031">
      <w:pPr>
        <w:pStyle w:val="48"/>
        <w:rPr>
          <w:rFonts w:hint="cs"/>
          <w:rtl/>
        </w:rPr>
      </w:pPr>
      <w:r w:rsidRPr="008C0FB5">
        <w:rPr>
          <w:rFonts w:hint="cs"/>
          <w:rtl/>
        </w:rPr>
        <w:t>يعبّر ابن القيم في كتابه أعلام الموقعين أصدق تعبير عن اتجاه هذه النظرية في شعارات قوية تحمل قبساً من حماسه واندفاعه في تأييدها، فهو القائل:</w:t>
      </w:r>
    </w:p>
    <w:p w14:paraId="6299D60B" w14:textId="77777777" w:rsidR="0094067A" w:rsidRPr="008C0FB5" w:rsidRDefault="0094067A" w:rsidP="00A613BA">
      <w:pPr>
        <w:pStyle w:val="afffffff1"/>
        <w:rPr>
          <w:rFonts w:hint="cs"/>
          <w:rtl/>
        </w:rPr>
      </w:pPr>
      <w:r w:rsidRPr="008C0FB5">
        <w:rPr>
          <w:rFonts w:hint="cs"/>
          <w:rtl/>
        </w:rPr>
        <w:t xml:space="preserve">القصد روح العقد ومصححه ومبطله، فاعتبار القصود في العقود أولى من اعتبار الألفاظ، فان الألفاظ مقصودة لغيرها، ومقاصد العقود هي التي تراد لأجلها فإذا ألغيت، واعتبرت الألفاظ التي لا تراد لنفسها، كان هذا إلغاء لما يجب اعتباره، واعتباراً لما قد يسوغ </w:t>
      </w:r>
      <w:proofErr w:type="gramStart"/>
      <w:r w:rsidRPr="008C0FB5">
        <w:rPr>
          <w:rFonts w:hint="cs"/>
          <w:rtl/>
        </w:rPr>
        <w:t>إلغاءه</w:t>
      </w:r>
      <w:r w:rsidRPr="008C0FB5">
        <w:rPr>
          <w:rFonts w:hint="cs"/>
          <w:szCs w:val="30"/>
          <w:vertAlign w:val="superscript"/>
          <w:rtl/>
        </w:rPr>
        <w:t>(</w:t>
      </w:r>
      <w:proofErr w:type="gramEnd"/>
      <w:r w:rsidRPr="008C0FB5">
        <w:rPr>
          <w:rStyle w:val="af0"/>
          <w:sz w:val="30"/>
          <w:szCs w:val="30"/>
          <w:rtl/>
        </w:rPr>
        <w:footnoteReference w:id="217"/>
      </w:r>
      <w:r w:rsidRPr="008C0FB5">
        <w:rPr>
          <w:rFonts w:hint="cs"/>
          <w:szCs w:val="30"/>
          <w:vertAlign w:val="superscript"/>
          <w:rtl/>
        </w:rPr>
        <w:t>)</w:t>
      </w:r>
      <w:r w:rsidRPr="008C0FB5">
        <w:rPr>
          <w:rFonts w:hint="cs"/>
          <w:rtl/>
        </w:rPr>
        <w:t>.</w:t>
      </w:r>
    </w:p>
    <w:p w14:paraId="42B55E21" w14:textId="77777777" w:rsidR="0094067A" w:rsidRPr="008C0FB5" w:rsidRDefault="0094067A" w:rsidP="00C35031">
      <w:pPr>
        <w:pStyle w:val="48"/>
        <w:rPr>
          <w:rFonts w:hint="cs"/>
          <w:rtl/>
        </w:rPr>
      </w:pPr>
      <w:r w:rsidRPr="008C0FB5">
        <w:rPr>
          <w:rFonts w:hint="cs"/>
          <w:b/>
          <w:bCs/>
          <w:rtl/>
        </w:rPr>
        <w:t>وقد دافع ابن القيم عن هذه النزعة في نطاقين مختلفين:</w:t>
      </w:r>
    </w:p>
    <w:p w14:paraId="42E8F4AD" w14:textId="77777777" w:rsidR="0094067A" w:rsidRPr="008C0FB5" w:rsidRDefault="0094067A" w:rsidP="007A1F34">
      <w:pPr>
        <w:pStyle w:val="48"/>
        <w:numPr>
          <w:ilvl w:val="0"/>
          <w:numId w:val="28"/>
        </w:numPr>
        <w:rPr>
          <w:rFonts w:hint="cs"/>
          <w:rtl/>
        </w:rPr>
      </w:pPr>
      <w:r w:rsidRPr="008C0FB5">
        <w:rPr>
          <w:rFonts w:hint="cs"/>
          <w:rtl/>
        </w:rPr>
        <w:t>نطاق الإرادة الباطنة.</w:t>
      </w:r>
    </w:p>
    <w:p w14:paraId="7DFF5EC5" w14:textId="77777777" w:rsidR="0094067A" w:rsidRPr="008C0FB5" w:rsidRDefault="0094067A" w:rsidP="007A1F34">
      <w:pPr>
        <w:pStyle w:val="48"/>
        <w:numPr>
          <w:ilvl w:val="0"/>
          <w:numId w:val="28"/>
        </w:numPr>
        <w:rPr>
          <w:rFonts w:hint="cs"/>
          <w:rtl/>
        </w:rPr>
      </w:pPr>
      <w:r w:rsidRPr="008C0FB5">
        <w:rPr>
          <w:rFonts w:hint="cs"/>
          <w:rtl/>
        </w:rPr>
        <w:t>نطاق الباعث على التعاقد.</w:t>
      </w:r>
    </w:p>
    <w:p w14:paraId="48E3A82C" w14:textId="77777777" w:rsidR="0094067A" w:rsidRPr="008C0FB5" w:rsidRDefault="0094067A" w:rsidP="00C35031">
      <w:pPr>
        <w:pStyle w:val="35"/>
        <w:rPr>
          <w:rFonts w:hint="cs"/>
          <w:rtl/>
        </w:rPr>
      </w:pPr>
      <w:r w:rsidRPr="008C0FB5">
        <w:rPr>
          <w:rFonts w:hint="cs"/>
          <w:rtl/>
        </w:rPr>
        <w:t xml:space="preserve">فدعا إلى إيثار الإرادة الباطنة والاحتفال بها من جهة، ونادى بوجوب الاعتداد بالباعث غير المشروع في إبطال العقد من جهة أخرى. وغير خافٍ ان هذين المفهومين رغم كونهما ذاتيين متباينين، ذلك لأن الأول هو أصلاً داخل في دائرة التعاقد، بينما يكون الثاني في الأصل خارجاً عن دائرة التعاقد، وإن كان يدخل فيه استثناء عند علم العاقد الآخر به، أو ذكره في متن العقد. </w:t>
      </w:r>
    </w:p>
    <w:p w14:paraId="60B77C85" w14:textId="77777777" w:rsidR="0094067A" w:rsidRPr="008C0FB5" w:rsidRDefault="0094067A" w:rsidP="00C35031">
      <w:pPr>
        <w:pStyle w:val="35"/>
        <w:rPr>
          <w:rFonts w:hint="cs"/>
          <w:rtl/>
        </w:rPr>
      </w:pPr>
      <w:r w:rsidRPr="008C0FB5">
        <w:rPr>
          <w:rFonts w:hint="cs"/>
          <w:rtl/>
        </w:rPr>
        <w:t xml:space="preserve">ويلاحظ ان ابن القيم لم يخصص لكل مفهوم اصطلاحاً خاصاً به، بل كان يطلق ألفاظاً (القصد) و(المقصد) و(النية) على المفهومين بدون </w:t>
      </w:r>
      <w:proofErr w:type="gramStart"/>
      <w:r w:rsidRPr="008C0FB5">
        <w:rPr>
          <w:rFonts w:hint="cs"/>
          <w:rtl/>
        </w:rPr>
        <w:t>تفريق</w:t>
      </w:r>
      <w:r w:rsidRPr="008C0FB5">
        <w:rPr>
          <w:rFonts w:cs="Saihat" w:hint="cs"/>
          <w:vertAlign w:val="superscript"/>
          <w:rtl/>
        </w:rPr>
        <w:t>(</w:t>
      </w:r>
      <w:proofErr w:type="gramEnd"/>
      <w:r w:rsidRPr="008C0FB5">
        <w:rPr>
          <w:rStyle w:val="af0"/>
          <w:rFonts w:cs="Saihat"/>
          <w:sz w:val="30"/>
          <w:rtl/>
        </w:rPr>
        <w:footnoteReference w:id="218"/>
      </w:r>
      <w:r w:rsidRPr="008C0FB5">
        <w:rPr>
          <w:rFonts w:cs="Saihat" w:hint="cs"/>
          <w:vertAlign w:val="superscript"/>
          <w:rtl/>
        </w:rPr>
        <w:t>)</w:t>
      </w:r>
      <w:r w:rsidRPr="008C0FB5">
        <w:rPr>
          <w:rFonts w:hint="cs"/>
          <w:rtl/>
        </w:rPr>
        <w:t>.</w:t>
      </w:r>
    </w:p>
    <w:p w14:paraId="7A30E0AA" w14:textId="77777777" w:rsidR="0094067A" w:rsidRPr="008C0FB5" w:rsidRDefault="0094067A" w:rsidP="00C35031">
      <w:pPr>
        <w:pStyle w:val="35"/>
        <w:rPr>
          <w:rFonts w:hint="cs"/>
          <w:rtl/>
        </w:rPr>
      </w:pPr>
      <w:r w:rsidRPr="008C0FB5">
        <w:rPr>
          <w:rFonts w:hint="cs"/>
          <w:rtl/>
        </w:rPr>
        <w:t xml:space="preserve">فقد دعا ابن اليم إلى إيثار الإرادة الباطنة على الإرادة الظاهرة في عبارات قوية قال: </w:t>
      </w:r>
    </w:p>
    <w:p w14:paraId="4027DE9B" w14:textId="77777777" w:rsidR="0094067A" w:rsidRPr="008C0FB5" w:rsidRDefault="0094067A" w:rsidP="00A613BA">
      <w:pPr>
        <w:pStyle w:val="afffffff1"/>
        <w:rPr>
          <w:rFonts w:hint="cs"/>
          <w:rtl/>
        </w:rPr>
      </w:pPr>
      <w:r w:rsidRPr="008C0FB5">
        <w:rPr>
          <w:rFonts w:hint="cs"/>
          <w:rtl/>
        </w:rPr>
        <w:lastRenderedPageBreak/>
        <w:t xml:space="preserve">وهذا الذي قلناه من اعتبار النيات والمقاصد في الألفاظ وانها لا تلزم بها أحكامها حتى يكون المتكلم بها قاصداً لها، مريداً لموجباتها، كما انه لابد أن يكون قاصداً للتكلم باللفظ مريداً له فلابد من إرادتين، إرادة التكلم باللفظ اختياراً، وإرادة موجبه ومقتضاه، بل إرادة المعنى ألد من إرادة اللفظ فانه المقصود واللفظ </w:t>
      </w:r>
      <w:proofErr w:type="gramStart"/>
      <w:r w:rsidRPr="008C0FB5">
        <w:rPr>
          <w:rFonts w:hint="cs"/>
          <w:rtl/>
        </w:rPr>
        <w:t>وسيلة</w:t>
      </w:r>
      <w:r w:rsidRPr="008C0FB5">
        <w:rPr>
          <w:rFonts w:hint="cs"/>
          <w:szCs w:val="30"/>
          <w:vertAlign w:val="superscript"/>
          <w:rtl/>
        </w:rPr>
        <w:t>(</w:t>
      </w:r>
      <w:proofErr w:type="gramEnd"/>
      <w:r w:rsidRPr="008C0FB5">
        <w:rPr>
          <w:rStyle w:val="af0"/>
          <w:sz w:val="30"/>
          <w:szCs w:val="30"/>
          <w:rtl/>
        </w:rPr>
        <w:footnoteReference w:id="219"/>
      </w:r>
      <w:r w:rsidRPr="008C0FB5">
        <w:rPr>
          <w:rFonts w:hint="cs"/>
          <w:szCs w:val="30"/>
          <w:vertAlign w:val="superscript"/>
          <w:rtl/>
        </w:rPr>
        <w:t>)</w:t>
      </w:r>
      <w:r w:rsidRPr="008C0FB5">
        <w:rPr>
          <w:rFonts w:hint="cs"/>
          <w:rtl/>
        </w:rPr>
        <w:t>.</w:t>
      </w:r>
    </w:p>
    <w:p w14:paraId="5493BC18" w14:textId="77777777" w:rsidR="0094067A" w:rsidRPr="008C0FB5" w:rsidRDefault="0094067A" w:rsidP="00C35031">
      <w:pPr>
        <w:pStyle w:val="35"/>
        <w:rPr>
          <w:rFonts w:hint="cs"/>
          <w:rtl/>
        </w:rPr>
      </w:pPr>
      <w:r w:rsidRPr="008C0FB5">
        <w:rPr>
          <w:rFonts w:hint="cs"/>
          <w:rtl/>
        </w:rPr>
        <w:t xml:space="preserve">وقال في موضع آخر: </w:t>
      </w:r>
    </w:p>
    <w:p w14:paraId="42A3D21D" w14:textId="77777777" w:rsidR="0094067A" w:rsidRPr="008C0FB5" w:rsidRDefault="0094067A" w:rsidP="00A613BA">
      <w:pPr>
        <w:pStyle w:val="afffffff1"/>
        <w:rPr>
          <w:rFonts w:hint="cs"/>
          <w:rtl/>
        </w:rPr>
      </w:pPr>
      <w:r w:rsidRPr="008C0FB5">
        <w:rPr>
          <w:rFonts w:hint="cs"/>
          <w:rtl/>
        </w:rPr>
        <w:t xml:space="preserve">إذا اشترى أو استأجر مكرهاً، لم يصح، وإن كان في الظاهر قد حصل صورة العقد لعدم قصده </w:t>
      </w:r>
      <w:proofErr w:type="gramStart"/>
      <w:r w:rsidRPr="008C0FB5">
        <w:rPr>
          <w:rFonts w:hint="cs"/>
          <w:rtl/>
        </w:rPr>
        <w:t>وإرادته</w:t>
      </w:r>
      <w:r w:rsidRPr="008C0FB5">
        <w:rPr>
          <w:rFonts w:hint="cs"/>
          <w:szCs w:val="30"/>
          <w:vertAlign w:val="superscript"/>
          <w:rtl/>
        </w:rPr>
        <w:t>(</w:t>
      </w:r>
      <w:proofErr w:type="gramEnd"/>
      <w:r w:rsidRPr="008C0FB5">
        <w:rPr>
          <w:rStyle w:val="af0"/>
          <w:sz w:val="30"/>
          <w:szCs w:val="30"/>
          <w:rtl/>
        </w:rPr>
        <w:footnoteReference w:id="220"/>
      </w:r>
      <w:r w:rsidRPr="008C0FB5">
        <w:rPr>
          <w:rFonts w:hint="cs"/>
          <w:szCs w:val="30"/>
          <w:vertAlign w:val="superscript"/>
          <w:rtl/>
        </w:rPr>
        <w:t>)</w:t>
      </w:r>
      <w:r w:rsidRPr="008C0FB5">
        <w:rPr>
          <w:rFonts w:hint="cs"/>
          <w:rtl/>
        </w:rPr>
        <w:t xml:space="preserve">. </w:t>
      </w:r>
    </w:p>
    <w:p w14:paraId="21C083DF" w14:textId="77777777" w:rsidR="0094067A" w:rsidRPr="008C0FB5" w:rsidRDefault="0094067A" w:rsidP="00C35031">
      <w:pPr>
        <w:pStyle w:val="35"/>
        <w:rPr>
          <w:rFonts w:hint="cs"/>
          <w:rtl/>
        </w:rPr>
      </w:pPr>
      <w:r w:rsidRPr="008C0FB5">
        <w:rPr>
          <w:rFonts w:hint="cs"/>
          <w:rtl/>
        </w:rPr>
        <w:t>ويلاحظ ان ابن القيم قد استعمل في النصين السابقين ألفاظ (القصد) و(النية) و(المقصد) بمعنى الإرادة الباطنة.</w:t>
      </w:r>
    </w:p>
    <w:p w14:paraId="718FB39D" w14:textId="77777777" w:rsidR="0094067A" w:rsidRPr="008C0FB5" w:rsidRDefault="0094067A" w:rsidP="00C35031">
      <w:pPr>
        <w:pStyle w:val="35"/>
        <w:rPr>
          <w:rFonts w:hint="cs"/>
          <w:rtl/>
        </w:rPr>
      </w:pPr>
      <w:r w:rsidRPr="008C0FB5">
        <w:rPr>
          <w:rFonts w:hint="cs"/>
          <w:rtl/>
        </w:rPr>
        <w:t xml:space="preserve">وإليك نصوصاً أخرى استعمل فيها المؤلف نفس الألفاظ بمعنى الباعث، في صدد دعوته إلى الاعتداد بالباعث غير المشروع قال: </w:t>
      </w:r>
    </w:p>
    <w:p w14:paraId="30EA7151" w14:textId="77777777" w:rsidR="0094067A" w:rsidRPr="008C0FB5" w:rsidRDefault="0094067A" w:rsidP="00A613BA">
      <w:pPr>
        <w:pStyle w:val="afffffff1"/>
        <w:rPr>
          <w:rFonts w:hint="cs"/>
          <w:rtl/>
        </w:rPr>
      </w:pPr>
      <w:r w:rsidRPr="008C0FB5">
        <w:rPr>
          <w:rFonts w:hint="cs"/>
          <w:rtl/>
        </w:rPr>
        <w:t xml:space="preserve">ومن المعلوم ان العاصر إنما عصر عنباً، ولما كانت نيته إنما هو تحصيل الخمر لم ينفعه ظاهر عصره، ولم يعصمه من اللعنة الباطنة قصده ومراده، فعلم ان الاعتبار في العقود والأفعال بحقائقها ومقاصدها دون ظواهر ألفاظها </w:t>
      </w:r>
      <w:proofErr w:type="gramStart"/>
      <w:r w:rsidRPr="008C0FB5">
        <w:rPr>
          <w:rFonts w:hint="cs"/>
          <w:rtl/>
        </w:rPr>
        <w:t>وأفعالها</w:t>
      </w:r>
      <w:r w:rsidRPr="008C0FB5">
        <w:rPr>
          <w:rFonts w:hint="cs"/>
          <w:szCs w:val="30"/>
          <w:vertAlign w:val="superscript"/>
          <w:rtl/>
        </w:rPr>
        <w:t>(</w:t>
      </w:r>
      <w:proofErr w:type="gramEnd"/>
      <w:r w:rsidRPr="008C0FB5">
        <w:rPr>
          <w:rStyle w:val="af0"/>
          <w:sz w:val="30"/>
          <w:szCs w:val="30"/>
          <w:rtl/>
        </w:rPr>
        <w:footnoteReference w:id="221"/>
      </w:r>
      <w:r w:rsidRPr="008C0FB5">
        <w:rPr>
          <w:rFonts w:hint="cs"/>
          <w:szCs w:val="30"/>
          <w:vertAlign w:val="superscript"/>
          <w:rtl/>
        </w:rPr>
        <w:t>)</w:t>
      </w:r>
      <w:r w:rsidRPr="008C0FB5">
        <w:rPr>
          <w:rFonts w:hint="cs"/>
          <w:rtl/>
        </w:rPr>
        <w:t>.</w:t>
      </w:r>
    </w:p>
    <w:p w14:paraId="2D09FDD4" w14:textId="77777777" w:rsidR="0094067A" w:rsidRPr="008C0FB5" w:rsidRDefault="0094067A" w:rsidP="00C35031">
      <w:pPr>
        <w:pStyle w:val="35"/>
        <w:rPr>
          <w:rFonts w:hint="cs"/>
          <w:rtl/>
        </w:rPr>
      </w:pPr>
      <w:r w:rsidRPr="008C0FB5">
        <w:rPr>
          <w:rFonts w:hint="cs"/>
          <w:rtl/>
        </w:rPr>
        <w:t xml:space="preserve">ويقول </w:t>
      </w:r>
    </w:p>
    <w:p w14:paraId="735B79D7" w14:textId="77777777" w:rsidR="0094067A" w:rsidRPr="008C0FB5" w:rsidRDefault="0094067A" w:rsidP="00A613BA">
      <w:pPr>
        <w:pStyle w:val="afffffff1"/>
        <w:rPr>
          <w:rFonts w:hint="cs"/>
          <w:rtl/>
        </w:rPr>
      </w:pPr>
      <w:r w:rsidRPr="008C0FB5">
        <w:rPr>
          <w:rFonts w:hint="cs"/>
          <w:rtl/>
        </w:rPr>
        <w:t xml:space="preserve">وقاعدة الشريعة التي لا يجوز هدمها أن المقاصد والاعتقادات معتبرة في التصرفات والعبارات كما هي معتبرة في التقربات والعبادات، فالقصد والنية والاعتقاد يجعل الشيء حلالاً أو حراماً، أو صحيحاً أو </w:t>
      </w:r>
      <w:proofErr w:type="gramStart"/>
      <w:r w:rsidRPr="008C0FB5">
        <w:rPr>
          <w:rFonts w:hint="cs"/>
          <w:rtl/>
        </w:rPr>
        <w:t>فاسداً</w:t>
      </w:r>
      <w:r w:rsidRPr="008C0FB5">
        <w:rPr>
          <w:rFonts w:hint="cs"/>
          <w:szCs w:val="30"/>
          <w:vertAlign w:val="superscript"/>
          <w:rtl/>
        </w:rPr>
        <w:t>(</w:t>
      </w:r>
      <w:proofErr w:type="gramEnd"/>
      <w:r w:rsidRPr="008C0FB5">
        <w:rPr>
          <w:rStyle w:val="af0"/>
          <w:sz w:val="30"/>
          <w:szCs w:val="30"/>
          <w:rtl/>
        </w:rPr>
        <w:footnoteReference w:id="222"/>
      </w:r>
      <w:r w:rsidRPr="008C0FB5">
        <w:rPr>
          <w:rFonts w:hint="cs"/>
          <w:szCs w:val="30"/>
          <w:vertAlign w:val="superscript"/>
          <w:rtl/>
        </w:rPr>
        <w:t>)</w:t>
      </w:r>
      <w:r w:rsidRPr="008C0FB5">
        <w:rPr>
          <w:rFonts w:hint="cs"/>
          <w:rtl/>
        </w:rPr>
        <w:t>.</w:t>
      </w:r>
    </w:p>
    <w:p w14:paraId="175E266B" w14:textId="77777777" w:rsidR="0094067A" w:rsidRPr="008C0FB5" w:rsidRDefault="0094067A" w:rsidP="00C35031">
      <w:pPr>
        <w:pStyle w:val="35"/>
        <w:rPr>
          <w:rFonts w:hint="cs"/>
          <w:rtl/>
        </w:rPr>
      </w:pPr>
      <w:r w:rsidRPr="008C0FB5">
        <w:rPr>
          <w:rFonts w:hint="cs"/>
          <w:rtl/>
        </w:rPr>
        <w:t>ويبدو ان ابن القيم قد نجح إلى حد كبير في مؤلفه القيم (أعلام الموقعين) في بعث النزعة الذاتية، عندما نادى بضرورة اعتبار الباعث في التصرف وإهدار كل تصرف يبنى على باعث غير مشروع، كنكاح المحلل، وبيع العينة، وبيع العنب لمن يصنع خمراً، وبيع السلاح لمن يحارب المسلمين، واننا حين نطالع كتاب ابن القيم المذكور، نتلمس ثورته في حرارة حججه المنشورة في كتابه في إبطال هذه التصرفات وهي تعتبر بحق رد فعل على ما ذهبت إليه بعض المذاهب السلامية المفرطة في الموضوعية إلى احترام التصرف، بصرف النظر عن باعثه مشروعاً كان أو غير مشروع</w:t>
      </w:r>
      <w:r w:rsidRPr="008C0FB5">
        <w:rPr>
          <w:rFonts w:cs="Saihat" w:hint="cs"/>
          <w:vertAlign w:val="superscript"/>
          <w:rtl/>
        </w:rPr>
        <w:t>(</w:t>
      </w:r>
      <w:r w:rsidRPr="008C0FB5">
        <w:rPr>
          <w:rStyle w:val="af0"/>
          <w:rFonts w:cs="Saihat"/>
          <w:sz w:val="30"/>
          <w:rtl/>
        </w:rPr>
        <w:footnoteReference w:id="223"/>
      </w:r>
      <w:r w:rsidRPr="008C0FB5">
        <w:rPr>
          <w:rFonts w:cs="Saihat" w:hint="cs"/>
          <w:vertAlign w:val="superscript"/>
          <w:rtl/>
        </w:rPr>
        <w:t>)</w:t>
      </w:r>
      <w:r w:rsidRPr="008C0FB5">
        <w:rPr>
          <w:rFonts w:hint="cs"/>
          <w:rtl/>
        </w:rPr>
        <w:t>.</w:t>
      </w:r>
    </w:p>
    <w:p w14:paraId="11F48D59" w14:textId="77777777" w:rsidR="0094067A" w:rsidRPr="008C0FB5" w:rsidRDefault="0094067A" w:rsidP="00C35031">
      <w:pPr>
        <w:pStyle w:val="35"/>
        <w:rPr>
          <w:rFonts w:hint="cs"/>
          <w:rtl/>
        </w:rPr>
      </w:pPr>
      <w:r w:rsidRPr="008C0FB5">
        <w:rPr>
          <w:rFonts w:hint="cs"/>
          <w:rtl/>
        </w:rPr>
        <w:t xml:space="preserve">ويذكر ابن القيم في أعلام الموقعين وجوب الاعتداد بالباعث فيقول: </w:t>
      </w:r>
    </w:p>
    <w:p w14:paraId="6DDF44D4" w14:textId="77777777" w:rsidR="0094067A" w:rsidRPr="008C0FB5" w:rsidRDefault="0094067A" w:rsidP="00A613BA">
      <w:pPr>
        <w:pStyle w:val="afffffff1"/>
        <w:rPr>
          <w:rFonts w:hint="cs"/>
          <w:rtl/>
        </w:rPr>
      </w:pPr>
      <w:r w:rsidRPr="008C0FB5">
        <w:rPr>
          <w:rFonts w:hint="cs"/>
          <w:rtl/>
        </w:rPr>
        <w:t>هل الاعتبار بظواهر الألفاظ والعقود، وإن ظهرت المقاصد والنيات بخلافها أم للقصود والنيات تأثير يوجب الالتفات إليها ومراعاة جانبها؟</w:t>
      </w:r>
    </w:p>
    <w:p w14:paraId="29606D62" w14:textId="77777777" w:rsidR="0094067A" w:rsidRPr="008C0FB5" w:rsidRDefault="0094067A" w:rsidP="00A613BA">
      <w:pPr>
        <w:pStyle w:val="afffffff1"/>
        <w:rPr>
          <w:rFonts w:hint="cs"/>
          <w:rtl/>
        </w:rPr>
      </w:pPr>
      <w:r w:rsidRPr="008C0FB5">
        <w:rPr>
          <w:rFonts w:hint="cs"/>
          <w:rtl/>
        </w:rPr>
        <w:lastRenderedPageBreak/>
        <w:t xml:space="preserve">وقد تظاهرت أدلة الشرع وقواعده على ان القصود في العقود معتبرة، وانها تؤثر في صحة العقد وفساده، وفي حله وحرمته بل أبلغ من ذلك، وهي انها تؤثر في الفعل الذي ليس بعقد تحليلاً وتحريماً، فيصير حلال تارة، وحراماً تارة، باختلاف النية والقصد كما يصير صحيحاَ تارة أو فاسداً تارة، </w:t>
      </w:r>
      <w:proofErr w:type="gramStart"/>
      <w:r w:rsidRPr="008C0FB5">
        <w:rPr>
          <w:rFonts w:hint="cs"/>
          <w:rtl/>
        </w:rPr>
        <w:t>باختلافها</w:t>
      </w:r>
      <w:r w:rsidRPr="008C0FB5">
        <w:rPr>
          <w:rFonts w:hint="cs"/>
          <w:szCs w:val="30"/>
          <w:vertAlign w:val="superscript"/>
          <w:rtl/>
        </w:rPr>
        <w:t>(</w:t>
      </w:r>
      <w:proofErr w:type="gramEnd"/>
      <w:r w:rsidRPr="008C0FB5">
        <w:rPr>
          <w:rStyle w:val="af0"/>
          <w:sz w:val="30"/>
          <w:szCs w:val="30"/>
          <w:rtl/>
        </w:rPr>
        <w:footnoteReference w:id="224"/>
      </w:r>
      <w:r w:rsidRPr="008C0FB5">
        <w:rPr>
          <w:rFonts w:hint="cs"/>
          <w:szCs w:val="30"/>
          <w:vertAlign w:val="superscript"/>
          <w:rtl/>
        </w:rPr>
        <w:t>)</w:t>
      </w:r>
      <w:r w:rsidRPr="008C0FB5">
        <w:rPr>
          <w:rFonts w:hint="cs"/>
          <w:rtl/>
        </w:rPr>
        <w:t>.</w:t>
      </w:r>
    </w:p>
    <w:p w14:paraId="7350FF85" w14:textId="77777777" w:rsidR="0094067A" w:rsidRPr="008C0FB5" w:rsidRDefault="0094067A" w:rsidP="00C35031">
      <w:pPr>
        <w:pStyle w:val="35"/>
        <w:rPr>
          <w:rFonts w:hint="cs"/>
          <w:rtl/>
        </w:rPr>
      </w:pPr>
      <w:r w:rsidRPr="008C0FB5">
        <w:rPr>
          <w:rFonts w:hint="cs"/>
          <w:rtl/>
        </w:rPr>
        <w:t xml:space="preserve">ويأتي ابن القيم بأمثلة على اعتبار البواعث في الوقائع المادية غير التعاقدية فيقول: </w:t>
      </w:r>
    </w:p>
    <w:p w14:paraId="056796FE" w14:textId="77777777" w:rsidR="0094067A" w:rsidRPr="008C0FB5" w:rsidRDefault="0094067A" w:rsidP="00A613BA">
      <w:pPr>
        <w:pStyle w:val="afffffff1"/>
        <w:rPr>
          <w:rFonts w:hint="cs"/>
          <w:rtl/>
        </w:rPr>
      </w:pPr>
      <w:r w:rsidRPr="008C0FB5">
        <w:rPr>
          <w:rFonts w:hint="cs"/>
          <w:rtl/>
        </w:rPr>
        <w:t>وهذا كالذبح فان الحيوان يحل إذا ذبح لأجل الأكل ويحرم إذا ذبح بغير الله، وكذلك عصر العنب بنية أن يكون خمراً معصية، ملعون فاعله على لسان رسول الله</w:t>
      </w:r>
      <w:r w:rsidR="003E1E9A" w:rsidRPr="008C0FB5">
        <w:rPr>
          <w:rFonts w:ascii="Abo-thar" w:hAnsi="Abo-thar" w:hint="cs"/>
        </w:rPr>
        <w:t></w:t>
      </w:r>
      <w:r w:rsidRPr="008C0FB5">
        <w:rPr>
          <w:rFonts w:hint="cs"/>
          <w:rtl/>
        </w:rPr>
        <w:t xml:space="preserve"> وعصره بنية أن يكون خلاً أو دبساً جائز، وصورة الفعل </w:t>
      </w:r>
      <w:proofErr w:type="gramStart"/>
      <w:r w:rsidRPr="008C0FB5">
        <w:rPr>
          <w:rFonts w:hint="cs"/>
          <w:rtl/>
        </w:rPr>
        <w:t>واحدة</w:t>
      </w:r>
      <w:r w:rsidRPr="008C0FB5">
        <w:rPr>
          <w:rFonts w:hint="cs"/>
          <w:szCs w:val="30"/>
          <w:vertAlign w:val="superscript"/>
          <w:rtl/>
        </w:rPr>
        <w:t>(</w:t>
      </w:r>
      <w:proofErr w:type="gramEnd"/>
      <w:r w:rsidRPr="008C0FB5">
        <w:rPr>
          <w:rStyle w:val="af0"/>
          <w:sz w:val="30"/>
          <w:szCs w:val="30"/>
          <w:rtl/>
        </w:rPr>
        <w:footnoteReference w:id="225"/>
      </w:r>
      <w:r w:rsidRPr="008C0FB5">
        <w:rPr>
          <w:rFonts w:hint="cs"/>
          <w:szCs w:val="30"/>
          <w:vertAlign w:val="superscript"/>
          <w:rtl/>
        </w:rPr>
        <w:t>)</w:t>
      </w:r>
      <w:r w:rsidRPr="008C0FB5">
        <w:rPr>
          <w:rFonts w:hint="cs"/>
          <w:rtl/>
        </w:rPr>
        <w:t>.</w:t>
      </w:r>
    </w:p>
    <w:p w14:paraId="7218438B" w14:textId="77777777" w:rsidR="0094067A" w:rsidRPr="008C0FB5" w:rsidRDefault="0094067A" w:rsidP="00C35031">
      <w:pPr>
        <w:pStyle w:val="35"/>
        <w:rPr>
          <w:rFonts w:hint="cs"/>
          <w:rtl/>
        </w:rPr>
      </w:pPr>
      <w:r w:rsidRPr="008C0FB5">
        <w:rPr>
          <w:rFonts w:hint="cs"/>
          <w:rtl/>
        </w:rPr>
        <w:t xml:space="preserve">وأخيراً يستشهد باعتبار الباعث في الوقائع المادية والإرادة الباطنة في التصرفات السابقة، لكي يدلل على وجود اعتبار البواعث في التصرفات فيقول: </w:t>
      </w:r>
    </w:p>
    <w:p w14:paraId="27E43152" w14:textId="77777777" w:rsidR="0094067A" w:rsidRPr="008C0FB5" w:rsidRDefault="0094067A" w:rsidP="00A613BA">
      <w:pPr>
        <w:pStyle w:val="afffffff1"/>
        <w:rPr>
          <w:rFonts w:hint="cs"/>
          <w:rtl/>
        </w:rPr>
      </w:pPr>
      <w:r w:rsidRPr="008C0FB5">
        <w:rPr>
          <w:rFonts w:hint="cs"/>
          <w:rtl/>
        </w:rPr>
        <w:t>... وصورة الفعل والعقد واحدة، وإنما اختلفت النية والقصد، وكذلك صورة القرض، وبيع الدرهم بالدرهم إلى أجل صورتها واحدة، وهذا مزية صحيحة وهذا معصية باطلة بالعقد، وكذلك السلاح يبيعه الرجل لمن يعرف انه يقتل به مسلماً، حرام باطل لما فيه من الإعانة على الإثم والعدوان، وإذا باعه لمن يعرف انه يجاهد به في سبيل الله فهو طاعة ومزية، وكذلك عقد النذر المعلق على شرط ينوب به التقرب والطاعة، فيلزمه الوفاء بما نذره وينوي به الحلف والامتناع فيكون يميناً مكفرة...، وهذا دليل على ان من نوى بالبيع عقد الربا حصل له الربا ولا يعصمه من ذلك صورة البيع، وإن من نوى بعقد النكاح التحليل كان محللاً ولا يخرجه من ذلك صورة عقد النكاح</w:t>
      </w:r>
      <w:r w:rsidRPr="008C0FB5">
        <w:rPr>
          <w:rFonts w:hint="cs"/>
          <w:szCs w:val="30"/>
          <w:vertAlign w:val="superscript"/>
          <w:rtl/>
        </w:rPr>
        <w:t>(</w:t>
      </w:r>
      <w:r w:rsidRPr="008C0FB5">
        <w:rPr>
          <w:rStyle w:val="af0"/>
          <w:sz w:val="30"/>
          <w:szCs w:val="30"/>
          <w:rtl/>
        </w:rPr>
        <w:footnoteReference w:id="226"/>
      </w:r>
      <w:r w:rsidRPr="008C0FB5">
        <w:rPr>
          <w:rFonts w:hint="cs"/>
          <w:szCs w:val="30"/>
          <w:vertAlign w:val="superscript"/>
          <w:rtl/>
        </w:rPr>
        <w:t>)</w:t>
      </w:r>
      <w:r w:rsidRPr="008C0FB5">
        <w:rPr>
          <w:rFonts w:hint="cs"/>
          <w:rtl/>
        </w:rPr>
        <w:t>.</w:t>
      </w:r>
    </w:p>
    <w:p w14:paraId="7844DA26" w14:textId="77777777" w:rsidR="0094067A" w:rsidRPr="008C0FB5" w:rsidRDefault="0094067A" w:rsidP="00C35031">
      <w:pPr>
        <w:pStyle w:val="35"/>
        <w:rPr>
          <w:rFonts w:hint="cs"/>
          <w:rtl/>
        </w:rPr>
      </w:pPr>
      <w:r w:rsidRPr="008C0FB5">
        <w:rPr>
          <w:rFonts w:hint="cs"/>
          <w:rtl/>
        </w:rPr>
        <w:t xml:space="preserve">وهذا كله بالنسبة لابن القيم الجوزية أما بقية فقهاء المذهب الحنبلي فلم يخرجوا عن هذا الرأي فقد ذكر ابن قدامة في كتابه المغني </w:t>
      </w:r>
    </w:p>
    <w:p w14:paraId="0471C8F6" w14:textId="77777777" w:rsidR="0094067A" w:rsidRPr="008C0FB5" w:rsidRDefault="0094067A" w:rsidP="00A613BA">
      <w:pPr>
        <w:pStyle w:val="afffffff1"/>
        <w:rPr>
          <w:rFonts w:hint="cs"/>
          <w:rtl/>
        </w:rPr>
      </w:pPr>
      <w:r w:rsidRPr="008C0FB5">
        <w:rPr>
          <w:rFonts w:hint="cs"/>
          <w:rtl/>
        </w:rPr>
        <w:t>وبيع العصير ممن يتخذه خمراً باطل وجملة ذلك أن يبيع العصير لمن يعتقد انه يتخذه خمراً حرام... لأنه يعقد عليها لمن يعلم انه يريدها للمعصية فأشبه إجارة أمته لمن يعلم انه ليستأجرها ليزني بها... إذا ثبت هذا فإنما يحرم بيع العصير ويبطل إذا علم البائع قصد المشتري ذلك، أما بقوله وأما بقرائن مختصة به تدل على ذلك، فأما إن كان الأمر محتملاً مثل أن يستر بها من لا يعلم حاله، أو من يعمل الخل والخمر معاً، ولم يلفظ بما يدل على إرادة الخمر، فالبيع جائز وهكذا الحكم في محل ما يقصد به الحرام، كبيع السلاح لأهل الحرب، أو لقطاع الطريق أو في الفتنة، وبيع الأمة للغناء أو إجارتها لذلك أو إجارة دار لبيع الخمر فيها أو لتتخذها كنيسة أو بيت نار وأشباه ذلك، فهذا حرام والعقد باطل</w:t>
      </w:r>
      <w:r w:rsidRPr="008C0FB5">
        <w:rPr>
          <w:rFonts w:hint="cs"/>
          <w:szCs w:val="30"/>
          <w:vertAlign w:val="superscript"/>
          <w:rtl/>
        </w:rPr>
        <w:t>(</w:t>
      </w:r>
      <w:r w:rsidRPr="008C0FB5">
        <w:rPr>
          <w:rStyle w:val="af0"/>
          <w:sz w:val="30"/>
          <w:szCs w:val="30"/>
          <w:rtl/>
        </w:rPr>
        <w:footnoteReference w:id="227"/>
      </w:r>
      <w:r w:rsidRPr="008C0FB5">
        <w:rPr>
          <w:rFonts w:hint="cs"/>
          <w:szCs w:val="30"/>
          <w:vertAlign w:val="superscript"/>
          <w:rtl/>
        </w:rPr>
        <w:t>)</w:t>
      </w:r>
      <w:r w:rsidRPr="008C0FB5">
        <w:rPr>
          <w:rFonts w:hint="cs"/>
          <w:rtl/>
        </w:rPr>
        <w:t>.</w:t>
      </w:r>
    </w:p>
    <w:p w14:paraId="1C37413D" w14:textId="77777777" w:rsidR="0094067A" w:rsidRPr="008C0FB5" w:rsidRDefault="0094067A" w:rsidP="00C35031">
      <w:pPr>
        <w:pStyle w:val="35"/>
        <w:rPr>
          <w:rFonts w:hint="cs"/>
          <w:rtl/>
        </w:rPr>
      </w:pPr>
      <w:r w:rsidRPr="008C0FB5">
        <w:rPr>
          <w:rFonts w:hint="cs"/>
          <w:rtl/>
        </w:rPr>
        <w:t xml:space="preserve">وجاء في الفروع: </w:t>
      </w:r>
    </w:p>
    <w:p w14:paraId="0ECE79A9" w14:textId="77777777" w:rsidR="0094067A" w:rsidRPr="008C0FB5" w:rsidRDefault="0094067A" w:rsidP="00A613BA">
      <w:pPr>
        <w:pStyle w:val="afffffff1"/>
        <w:rPr>
          <w:rFonts w:hint="cs"/>
          <w:rtl/>
        </w:rPr>
      </w:pPr>
      <w:r w:rsidRPr="008C0FB5">
        <w:rPr>
          <w:rFonts w:hint="cs"/>
          <w:rtl/>
        </w:rPr>
        <w:t>لا يصح بيع ما قصد به الحرام، كعصير لمتخذه خمراً قطعاً... وسلاحاً في فتنة... ومأكول ومشموم لمن يشرب عليهما المسكر، وأقداح لمن يشرب فيها وجوز لقمار، وأمة وأمرد لواطئ دبر</w:t>
      </w:r>
      <w:proofErr w:type="gramStart"/>
      <w:r w:rsidRPr="008C0FB5">
        <w:rPr>
          <w:rFonts w:hint="cs"/>
          <w:rtl/>
        </w:rPr>
        <w:t>...</w:t>
      </w:r>
      <w:r w:rsidRPr="008C0FB5">
        <w:rPr>
          <w:rFonts w:hint="cs"/>
          <w:szCs w:val="30"/>
          <w:vertAlign w:val="superscript"/>
          <w:rtl/>
        </w:rPr>
        <w:t>(</w:t>
      </w:r>
      <w:proofErr w:type="gramEnd"/>
      <w:r w:rsidRPr="008C0FB5">
        <w:rPr>
          <w:rStyle w:val="af0"/>
          <w:sz w:val="30"/>
          <w:szCs w:val="30"/>
          <w:rtl/>
        </w:rPr>
        <w:footnoteReference w:id="228"/>
      </w:r>
      <w:r w:rsidRPr="008C0FB5">
        <w:rPr>
          <w:rFonts w:hint="cs"/>
          <w:szCs w:val="30"/>
          <w:vertAlign w:val="superscript"/>
          <w:rtl/>
        </w:rPr>
        <w:t>)</w:t>
      </w:r>
      <w:r w:rsidRPr="008C0FB5">
        <w:rPr>
          <w:rFonts w:hint="cs"/>
          <w:rtl/>
        </w:rPr>
        <w:t xml:space="preserve">. </w:t>
      </w:r>
    </w:p>
    <w:p w14:paraId="221DFA39" w14:textId="77777777" w:rsidR="0094067A" w:rsidRPr="008C0FB5" w:rsidRDefault="0094067A" w:rsidP="00C253D0">
      <w:pPr>
        <w:pStyle w:val="af8"/>
        <w:rPr>
          <w:rFonts w:hint="cs"/>
          <w:rtl/>
        </w:rPr>
      </w:pPr>
      <w:bookmarkStart w:id="79" w:name="_Toc8643671"/>
      <w:r w:rsidRPr="008C0FB5">
        <w:rPr>
          <w:rFonts w:hint="cs"/>
          <w:rtl/>
        </w:rPr>
        <w:t xml:space="preserve">الفرع الثالث: </w:t>
      </w:r>
      <w:r w:rsidRPr="008C0FB5">
        <w:rPr>
          <w:rFonts w:hint="cs"/>
          <w:rtl/>
          <w:lang w:bidi="ar-IQ"/>
        </w:rPr>
        <w:t>النظرية الذاتية في المذهب المالكي</w:t>
      </w:r>
      <w:bookmarkEnd w:id="79"/>
    </w:p>
    <w:p w14:paraId="73152E87" w14:textId="77777777" w:rsidR="0094067A" w:rsidRPr="008C0FB5" w:rsidRDefault="0094067A" w:rsidP="00C35031">
      <w:pPr>
        <w:pStyle w:val="48"/>
        <w:rPr>
          <w:rFonts w:hint="cs"/>
          <w:rtl/>
        </w:rPr>
      </w:pPr>
      <w:r w:rsidRPr="008C0FB5">
        <w:rPr>
          <w:rFonts w:hint="cs"/>
          <w:rtl/>
        </w:rPr>
        <w:t xml:space="preserve">يعتد المالكية شأنهم في ذلك شأن المذهبين الجعفري والحنبلي بالباعث ولو لم يذكر في صلب العقد، ولا يجيزون تبعاً لذلك بيع أرض بقصد بناء كنيسة أو بيع خشب بقصد صنع صليب، أو </w:t>
      </w:r>
      <w:r w:rsidRPr="008C0FB5">
        <w:rPr>
          <w:rFonts w:hint="cs"/>
          <w:rtl/>
        </w:rPr>
        <w:lastRenderedPageBreak/>
        <w:t xml:space="preserve">شراء عبد بقصد أن يكون </w:t>
      </w:r>
      <w:proofErr w:type="gramStart"/>
      <w:r w:rsidRPr="008C0FB5">
        <w:rPr>
          <w:rFonts w:hint="cs"/>
          <w:rtl/>
        </w:rPr>
        <w:t>مغنياً</w:t>
      </w:r>
      <w:r w:rsidRPr="008C0FB5">
        <w:rPr>
          <w:rFonts w:cs="Saihat" w:hint="cs"/>
          <w:vertAlign w:val="superscript"/>
          <w:rtl/>
        </w:rPr>
        <w:t>(</w:t>
      </w:r>
      <w:proofErr w:type="gramEnd"/>
      <w:r w:rsidRPr="008C0FB5">
        <w:rPr>
          <w:rStyle w:val="af0"/>
          <w:rFonts w:cs="Saihat"/>
          <w:sz w:val="30"/>
          <w:rtl/>
        </w:rPr>
        <w:footnoteReference w:id="229"/>
      </w:r>
      <w:r w:rsidRPr="008C0FB5">
        <w:rPr>
          <w:rFonts w:cs="Saihat" w:hint="cs"/>
          <w:vertAlign w:val="superscript"/>
          <w:rtl/>
        </w:rPr>
        <w:t>)</w:t>
      </w:r>
      <w:r w:rsidRPr="008C0FB5">
        <w:rPr>
          <w:rFonts w:hint="cs"/>
          <w:rtl/>
        </w:rPr>
        <w:t>.</w:t>
      </w:r>
    </w:p>
    <w:p w14:paraId="0EA6D85F" w14:textId="77777777" w:rsidR="0094067A" w:rsidRPr="008C0FB5" w:rsidRDefault="0094067A" w:rsidP="00C35031">
      <w:pPr>
        <w:pStyle w:val="35"/>
        <w:rPr>
          <w:rFonts w:hint="cs"/>
          <w:rtl/>
        </w:rPr>
      </w:pPr>
      <w:r w:rsidRPr="008C0FB5">
        <w:rPr>
          <w:rFonts w:hint="cs"/>
          <w:rtl/>
        </w:rPr>
        <w:t xml:space="preserve">وقد جاء في الخطاب </w:t>
      </w:r>
    </w:p>
    <w:p w14:paraId="31C77A92" w14:textId="77777777" w:rsidR="0094067A" w:rsidRPr="008C0FB5" w:rsidRDefault="0094067A" w:rsidP="00A613BA">
      <w:pPr>
        <w:pStyle w:val="afffffff1"/>
        <w:rPr>
          <w:rFonts w:hint="cs"/>
          <w:rtl/>
        </w:rPr>
      </w:pPr>
      <w:r w:rsidRPr="008C0FB5">
        <w:rPr>
          <w:rFonts w:hint="cs"/>
          <w:rtl/>
        </w:rPr>
        <w:t xml:space="preserve">بيع العنب لمن يعصره خمراً، وبيع ثياب الحرير ممن يلبسها غير </w:t>
      </w:r>
      <w:proofErr w:type="gramStart"/>
      <w:r w:rsidRPr="008C0FB5">
        <w:rPr>
          <w:rFonts w:hint="cs"/>
          <w:rtl/>
        </w:rPr>
        <w:t>جائز</w:t>
      </w:r>
      <w:r w:rsidRPr="008C0FB5">
        <w:rPr>
          <w:rFonts w:hint="cs"/>
          <w:szCs w:val="30"/>
          <w:vertAlign w:val="superscript"/>
          <w:rtl/>
        </w:rPr>
        <w:t>(</w:t>
      </w:r>
      <w:proofErr w:type="gramEnd"/>
      <w:r w:rsidRPr="008C0FB5">
        <w:rPr>
          <w:rStyle w:val="af0"/>
          <w:sz w:val="30"/>
          <w:szCs w:val="30"/>
          <w:rtl/>
        </w:rPr>
        <w:footnoteReference w:id="230"/>
      </w:r>
      <w:r w:rsidRPr="008C0FB5">
        <w:rPr>
          <w:rFonts w:hint="cs"/>
          <w:szCs w:val="30"/>
          <w:vertAlign w:val="superscript"/>
          <w:rtl/>
        </w:rPr>
        <w:t>)</w:t>
      </w:r>
      <w:r w:rsidRPr="008C0FB5">
        <w:rPr>
          <w:rFonts w:hint="cs"/>
          <w:rtl/>
        </w:rPr>
        <w:t>.</w:t>
      </w:r>
    </w:p>
    <w:p w14:paraId="4CB60682" w14:textId="77777777" w:rsidR="0094067A" w:rsidRPr="008C0FB5" w:rsidRDefault="0094067A" w:rsidP="00C35031">
      <w:pPr>
        <w:pStyle w:val="35"/>
        <w:rPr>
          <w:rFonts w:hint="cs"/>
          <w:rtl/>
        </w:rPr>
      </w:pPr>
      <w:r w:rsidRPr="008C0FB5">
        <w:rPr>
          <w:rFonts w:hint="cs"/>
          <w:rtl/>
        </w:rPr>
        <w:t xml:space="preserve">وقد أورد الإمام الشاطبي في كتابه الموافقات أدلة المخالفين لمناقشتها وإبطال ما ذهبوا إليه </w:t>
      </w:r>
      <w:r w:rsidRPr="008C0FB5">
        <w:rPr>
          <w:rFonts w:ascii="Times New Roman" w:hAnsi="Times New Roman" w:cs="Times New Roman" w:hint="cs"/>
          <w:rtl/>
        </w:rPr>
        <w:t>–</w:t>
      </w:r>
      <w:r w:rsidRPr="008C0FB5">
        <w:rPr>
          <w:rFonts w:hint="cs"/>
          <w:rtl/>
        </w:rPr>
        <w:t xml:space="preserve"> كما فعل ابن القيم الجوزية </w:t>
      </w:r>
      <w:r w:rsidRPr="008C0FB5">
        <w:rPr>
          <w:rFonts w:ascii="Times New Roman" w:hAnsi="Times New Roman" w:cs="Times New Roman" w:hint="cs"/>
          <w:rtl/>
        </w:rPr>
        <w:t>–</w:t>
      </w:r>
      <w:r w:rsidRPr="008C0FB5">
        <w:rPr>
          <w:rFonts w:hint="cs"/>
          <w:rtl/>
        </w:rPr>
        <w:t xml:space="preserve"> إذ يقول: </w:t>
      </w:r>
    </w:p>
    <w:p w14:paraId="7E249066" w14:textId="77777777" w:rsidR="0094067A" w:rsidRPr="008C0FB5" w:rsidRDefault="0094067A" w:rsidP="00A613BA">
      <w:pPr>
        <w:pStyle w:val="afffffff1"/>
        <w:rPr>
          <w:rFonts w:hint="cs"/>
          <w:rtl/>
        </w:rPr>
      </w:pPr>
      <w:r w:rsidRPr="008C0FB5">
        <w:rPr>
          <w:rFonts w:hint="cs"/>
          <w:rtl/>
        </w:rPr>
        <w:t>إنما الأعمال بالنيات والمقاصد معتبرة في التصرفات من العبادات والعادات والأدلة على هذا المعنى لا تنحصر، ويكفيك منها ان المقاصد تفرق بين ما هو عادة وما هو عبادة، وفي العبادات بين ما هو واحب وغير واجب، وفي العادات بين الواجب والمندوب والمباح والمكروه والمحرم، والصحيح والفاسد، وغير ذلك من الأحكام، والعمل الواحد يقصد به أمر فيكون عبادة، ويقصد به شيء آخر فلا يكون كذلك، بل يقصد به شيء فيكون إيماناً، ويقصد به شيء آخر فيكون كفراً كالسجود لله أو للصنم، وأيضاً فالعمل إذا تعلق القصد بخ تعلقت به الأحكام التكليفية وإذا عرى عن القصد لم يتعلق به شيء منها فعل النائم والغافل والمجنون</w:t>
      </w:r>
      <w:r w:rsidRPr="008C0FB5">
        <w:rPr>
          <w:rFonts w:hint="cs"/>
          <w:szCs w:val="30"/>
          <w:vertAlign w:val="superscript"/>
          <w:rtl/>
        </w:rPr>
        <w:t>(</w:t>
      </w:r>
      <w:r w:rsidRPr="008C0FB5">
        <w:rPr>
          <w:rStyle w:val="af0"/>
          <w:sz w:val="30"/>
          <w:szCs w:val="30"/>
          <w:rtl/>
        </w:rPr>
        <w:footnoteReference w:id="231"/>
      </w:r>
      <w:r w:rsidRPr="008C0FB5">
        <w:rPr>
          <w:rFonts w:hint="cs"/>
          <w:szCs w:val="30"/>
          <w:vertAlign w:val="superscript"/>
          <w:rtl/>
        </w:rPr>
        <w:t>)</w:t>
      </w:r>
      <w:r w:rsidRPr="008C0FB5">
        <w:rPr>
          <w:rFonts w:hint="cs"/>
          <w:rtl/>
        </w:rPr>
        <w:t>.</w:t>
      </w:r>
    </w:p>
    <w:p w14:paraId="5BC49DD4" w14:textId="77777777" w:rsidR="0094067A" w:rsidRPr="008C0FB5" w:rsidRDefault="0094067A" w:rsidP="00C35031">
      <w:pPr>
        <w:pStyle w:val="35"/>
        <w:rPr>
          <w:rFonts w:hint="cs"/>
          <w:rtl/>
        </w:rPr>
      </w:pPr>
      <w:r w:rsidRPr="008C0FB5">
        <w:rPr>
          <w:rFonts w:hint="cs"/>
          <w:rtl/>
        </w:rPr>
        <w:t>ويورد لذلك أدلة لا تخرج في جملتها عما ذكره ابن لقيم فلا داعي لتكرارها.</w:t>
      </w:r>
    </w:p>
    <w:p w14:paraId="20E7A2C3" w14:textId="77777777" w:rsidR="0094067A" w:rsidRPr="008C0FB5" w:rsidRDefault="0094067A" w:rsidP="00C35031">
      <w:pPr>
        <w:pStyle w:val="35"/>
        <w:rPr>
          <w:rFonts w:hint="cs"/>
          <w:rtl/>
        </w:rPr>
      </w:pPr>
      <w:r w:rsidRPr="008C0FB5">
        <w:rPr>
          <w:rFonts w:hint="cs"/>
          <w:rtl/>
        </w:rPr>
        <w:t xml:space="preserve">وهكذا فهؤلاء الفقهاء يقولون بتأثير الباعث الدافع في صحة العقود أو بطلانها بشرط أن يكون الطرف الآخر عالماً بذلك أو كان بإمكانه أن يعلم، وقد يستخلص علم الطرف الآخر من القرائن وظروف الحال، كمن يبيع العنب لمن يتجر في صنع المسكرات وبيعها، ولا يشترط ذلك بل يكفي أن تكون الظروف بحيث ينبغي أن يعلم به، كما إذا أهدى المقترض للمقرض شيئاً قبل الأداء، حمل ذلك على الربا وينبغي أن يعلم المقرض بذلك الباعث حتى لو لم يكن يعلم به </w:t>
      </w:r>
      <w:proofErr w:type="gramStart"/>
      <w:r w:rsidRPr="008C0FB5">
        <w:rPr>
          <w:rFonts w:hint="cs"/>
          <w:rtl/>
        </w:rPr>
        <w:t>فعلاً</w:t>
      </w:r>
      <w:r w:rsidRPr="008C0FB5">
        <w:rPr>
          <w:rFonts w:cs="Saihat" w:hint="cs"/>
          <w:vertAlign w:val="superscript"/>
          <w:rtl/>
        </w:rPr>
        <w:t>(</w:t>
      </w:r>
      <w:proofErr w:type="gramEnd"/>
      <w:r w:rsidRPr="008C0FB5">
        <w:rPr>
          <w:rStyle w:val="af0"/>
          <w:rFonts w:cs="Saihat"/>
          <w:sz w:val="30"/>
          <w:rtl/>
        </w:rPr>
        <w:footnoteReference w:id="232"/>
      </w:r>
      <w:r w:rsidRPr="008C0FB5">
        <w:rPr>
          <w:rFonts w:cs="Saihat" w:hint="cs"/>
          <w:vertAlign w:val="superscript"/>
          <w:rtl/>
        </w:rPr>
        <w:t>)</w:t>
      </w:r>
      <w:r w:rsidRPr="008C0FB5">
        <w:rPr>
          <w:rFonts w:hint="cs"/>
          <w:rtl/>
        </w:rPr>
        <w:t xml:space="preserve">.         </w:t>
      </w:r>
    </w:p>
    <w:p w14:paraId="715BD706" w14:textId="77777777" w:rsidR="0094067A" w:rsidRPr="008C0FB5" w:rsidRDefault="0094067A" w:rsidP="00C253D0">
      <w:pPr>
        <w:pStyle w:val="a1"/>
        <w:rPr>
          <w:rFonts w:hint="cs"/>
          <w:rtl/>
        </w:rPr>
      </w:pPr>
      <w:bookmarkStart w:id="80" w:name="_Toc8643672"/>
      <w:r w:rsidRPr="008C0FB5">
        <w:rPr>
          <w:rFonts w:hint="cs"/>
          <w:rtl/>
        </w:rPr>
        <w:t>المطلب الثالث: النظـرية المختلطة للباعـث</w:t>
      </w:r>
      <w:bookmarkEnd w:id="80"/>
    </w:p>
    <w:p w14:paraId="6B54E641" w14:textId="77777777" w:rsidR="0094067A" w:rsidRPr="008C0FB5" w:rsidRDefault="0094067A" w:rsidP="00C35031">
      <w:pPr>
        <w:pStyle w:val="48"/>
        <w:rPr>
          <w:rFonts w:hint="cs"/>
          <w:rtl/>
        </w:rPr>
      </w:pPr>
      <w:r w:rsidRPr="008C0FB5">
        <w:rPr>
          <w:rFonts w:hint="cs"/>
          <w:rtl/>
        </w:rPr>
        <w:t>وهذا الاتجاه الثالث هو الوسط بين الاتجاهين السابقين ذهب إليه الحنفية حيث انه اشترط في الباعث الدافع غير المشروع من حيث تأثيره في بطلان التصرف أن يذكر في العقد صراحة أو يستنتج من طبيعة المحل.</w:t>
      </w:r>
    </w:p>
    <w:p w14:paraId="33124D2A" w14:textId="77777777" w:rsidR="0094067A" w:rsidRPr="008C0FB5" w:rsidRDefault="0094067A" w:rsidP="00921573">
      <w:pPr>
        <w:pStyle w:val="48"/>
        <w:rPr>
          <w:rFonts w:hint="cs"/>
          <w:b/>
          <w:bCs/>
          <w:rtl/>
        </w:rPr>
      </w:pPr>
      <w:r w:rsidRPr="008C0FB5">
        <w:rPr>
          <w:rFonts w:hint="cs"/>
          <w:b/>
          <w:bCs/>
          <w:rtl/>
        </w:rPr>
        <w:t>فمن صور الحالة الأولى:</w:t>
      </w:r>
    </w:p>
    <w:p w14:paraId="60272058" w14:textId="77777777" w:rsidR="0094067A" w:rsidRPr="008C0FB5" w:rsidRDefault="0094067A" w:rsidP="00C35031">
      <w:pPr>
        <w:pStyle w:val="48"/>
        <w:rPr>
          <w:rFonts w:hint="cs"/>
          <w:rtl/>
        </w:rPr>
      </w:pPr>
      <w:r w:rsidRPr="008C0FB5">
        <w:rPr>
          <w:rFonts w:hint="cs"/>
          <w:rtl/>
        </w:rPr>
        <w:t>حالة ما إذا كان الباعث غير مشروع مذكور صراحة في صيغة العقد ما يأتي:</w:t>
      </w:r>
    </w:p>
    <w:p w14:paraId="5810B2DF" w14:textId="77777777" w:rsidR="0094067A" w:rsidRPr="008C0FB5" w:rsidRDefault="0094067A" w:rsidP="007A1F34">
      <w:pPr>
        <w:pStyle w:val="48"/>
        <w:numPr>
          <w:ilvl w:val="0"/>
          <w:numId w:val="29"/>
        </w:numPr>
      </w:pPr>
      <w:r w:rsidRPr="008C0FB5">
        <w:rPr>
          <w:rFonts w:hint="cs"/>
          <w:rtl/>
        </w:rPr>
        <w:t xml:space="preserve">ما جاء في الزيلعي: </w:t>
      </w:r>
    </w:p>
    <w:p w14:paraId="13AB0C3A" w14:textId="77777777" w:rsidR="0094067A" w:rsidRPr="008C0FB5" w:rsidRDefault="0094067A" w:rsidP="00A613BA">
      <w:pPr>
        <w:pStyle w:val="afffffff1"/>
        <w:rPr>
          <w:rFonts w:hint="cs"/>
          <w:rtl/>
        </w:rPr>
      </w:pPr>
      <w:r w:rsidRPr="008C0FB5">
        <w:rPr>
          <w:rFonts w:hint="cs"/>
          <w:rtl/>
        </w:rPr>
        <w:t xml:space="preserve">ولا يجوز </w:t>
      </w:r>
      <w:r w:rsidRPr="008C0FB5">
        <w:rPr>
          <w:rFonts w:ascii="Times New Roman" w:hAnsi="Times New Roman" w:cs="Times New Roman" w:hint="cs"/>
          <w:rtl/>
        </w:rPr>
        <w:t>–</w:t>
      </w:r>
      <w:r w:rsidRPr="008C0FB5">
        <w:rPr>
          <w:rFonts w:hint="cs"/>
          <w:rtl/>
        </w:rPr>
        <w:t xml:space="preserve"> الاستئجار </w:t>
      </w:r>
      <w:r w:rsidRPr="008C0FB5">
        <w:rPr>
          <w:rFonts w:ascii="Times New Roman" w:hAnsi="Times New Roman" w:cs="Times New Roman" w:hint="cs"/>
          <w:rtl/>
        </w:rPr>
        <w:t>–</w:t>
      </w:r>
      <w:r w:rsidRPr="008C0FB5">
        <w:rPr>
          <w:rFonts w:hint="cs"/>
          <w:rtl/>
        </w:rPr>
        <w:t xml:space="preserve"> على الغناء والنوح والملاهي، لأن المعصية لا يتصور استحقاقها بالعقد، فلا يجب عليه الأجر من غير أن يستحق هو على الأجر شيئاً، إذ المبادلة لا تكون إلا باستحقاق كل واحد منهما على الآخر، ولو استحق عليه للمعصية، تعالى الله عن ذلك علواً كبيراً. ولأن الأجير والمستأجر مشتركان في منفعة ذلك في الدنيا، فتكون الإجارة على محل هو ذريك فيه، وان إعطاء الأجر وقبضه لا يحل له، ويجب عليه رده إلى صاحبه، وفي المحيط في كتاب الاستحسان، إذا أُخذ المال من غير شرط يباح لأنه إعطاء المال عن طوع من غير </w:t>
      </w:r>
      <w:proofErr w:type="gramStart"/>
      <w:r w:rsidRPr="008C0FB5">
        <w:rPr>
          <w:rFonts w:hint="cs"/>
          <w:rtl/>
        </w:rPr>
        <w:t>عقد.</w:t>
      </w:r>
      <w:r w:rsidRPr="008C0FB5">
        <w:rPr>
          <w:rFonts w:hint="cs"/>
          <w:szCs w:val="30"/>
          <w:vertAlign w:val="superscript"/>
          <w:rtl/>
        </w:rPr>
        <w:t>(</w:t>
      </w:r>
      <w:proofErr w:type="gramEnd"/>
      <w:r w:rsidRPr="008C0FB5">
        <w:rPr>
          <w:rStyle w:val="af0"/>
          <w:sz w:val="30"/>
          <w:szCs w:val="30"/>
          <w:rtl/>
        </w:rPr>
        <w:footnoteReference w:id="233"/>
      </w:r>
      <w:r w:rsidRPr="008C0FB5">
        <w:rPr>
          <w:rFonts w:hint="cs"/>
          <w:szCs w:val="30"/>
          <w:vertAlign w:val="superscript"/>
          <w:rtl/>
        </w:rPr>
        <w:t>)</w:t>
      </w:r>
    </w:p>
    <w:p w14:paraId="2400C02C" w14:textId="77777777" w:rsidR="0094067A" w:rsidRPr="008C0FB5" w:rsidRDefault="0094067A" w:rsidP="007A1F34">
      <w:pPr>
        <w:pStyle w:val="48"/>
        <w:numPr>
          <w:ilvl w:val="0"/>
          <w:numId w:val="29"/>
        </w:numPr>
      </w:pPr>
      <w:r w:rsidRPr="008C0FB5">
        <w:rPr>
          <w:rFonts w:hint="cs"/>
          <w:rtl/>
        </w:rPr>
        <w:lastRenderedPageBreak/>
        <w:t xml:space="preserve">وجاء في الفتاوى الخانية: </w:t>
      </w:r>
    </w:p>
    <w:p w14:paraId="4BD92D2D" w14:textId="77777777" w:rsidR="0094067A" w:rsidRPr="008C0FB5" w:rsidRDefault="0094067A" w:rsidP="00A613BA">
      <w:pPr>
        <w:pStyle w:val="afffffff1"/>
        <w:rPr>
          <w:rFonts w:hint="cs"/>
          <w:rtl/>
        </w:rPr>
      </w:pPr>
      <w:r w:rsidRPr="008C0FB5">
        <w:rPr>
          <w:rFonts w:hint="cs"/>
          <w:rtl/>
        </w:rPr>
        <w:t>لو استأجر رجلاً ينحت له صنماً أو ليزخرف له بيتاً بالتماثيل فلا أجر له كما لو استأجر نائحة أو مغنية.</w:t>
      </w:r>
      <w:r w:rsidRPr="008C0FB5">
        <w:rPr>
          <w:rFonts w:hint="cs"/>
          <w:vertAlign w:val="superscript"/>
          <w:rtl/>
        </w:rPr>
        <w:t xml:space="preserve"> </w:t>
      </w:r>
      <w:r w:rsidRPr="008C0FB5">
        <w:rPr>
          <w:rFonts w:hint="cs"/>
          <w:szCs w:val="30"/>
          <w:vertAlign w:val="superscript"/>
          <w:rtl/>
        </w:rPr>
        <w:t>(</w:t>
      </w:r>
      <w:r w:rsidRPr="008C0FB5">
        <w:rPr>
          <w:rStyle w:val="af0"/>
          <w:sz w:val="30"/>
          <w:szCs w:val="30"/>
          <w:rtl/>
        </w:rPr>
        <w:footnoteReference w:id="234"/>
      </w:r>
      <w:r w:rsidRPr="008C0FB5">
        <w:rPr>
          <w:rFonts w:hint="cs"/>
          <w:szCs w:val="30"/>
          <w:vertAlign w:val="superscript"/>
          <w:rtl/>
        </w:rPr>
        <w:t>)</w:t>
      </w:r>
    </w:p>
    <w:p w14:paraId="65A70557" w14:textId="77777777" w:rsidR="0094067A" w:rsidRPr="008C0FB5" w:rsidRDefault="0094067A" w:rsidP="00C35031">
      <w:pPr>
        <w:pStyle w:val="35"/>
        <w:rPr>
          <w:rFonts w:hint="cs"/>
          <w:rtl/>
        </w:rPr>
      </w:pPr>
      <w:r w:rsidRPr="008C0FB5">
        <w:rPr>
          <w:rFonts w:hint="cs"/>
          <w:rtl/>
        </w:rPr>
        <w:t>وواضح من النصين السابقين، ان صيغة العقد قد تضمنت صراحة الباعث على الإجارة، وهو السبب المصلحي، ولما كان هذا السبب غير مشروع، لأنه يفضي إلى محرمات نهى الشارع عنها، وهي الغناء والنوح، وبيع الخمر والميتة والدم، وصنع الأصنام والتماثيل، ومن ثم كان عقد الإجارة الذي انصب على هذه المحرمات باطلاً، وإليك نصوص أخرى في كتاب بدائع الصنائع، أبطل الشارع فيها تصرفات كان الباعث الدافع إلى إبرامها، باعث غير مشروع انتظمه نص العقد.</w:t>
      </w:r>
    </w:p>
    <w:p w14:paraId="5384CD52" w14:textId="77777777" w:rsidR="0094067A" w:rsidRPr="008C0FB5" w:rsidRDefault="0094067A" w:rsidP="00C35031">
      <w:pPr>
        <w:pStyle w:val="35"/>
        <w:rPr>
          <w:rFonts w:hint="cs"/>
          <w:rtl/>
        </w:rPr>
      </w:pPr>
      <w:r w:rsidRPr="008C0FB5">
        <w:rPr>
          <w:rFonts w:hint="cs"/>
          <w:rtl/>
        </w:rPr>
        <w:t xml:space="preserve">فقد قال الكاساني: </w:t>
      </w:r>
    </w:p>
    <w:p w14:paraId="28C5A027" w14:textId="77777777" w:rsidR="0094067A" w:rsidRPr="008C0FB5" w:rsidRDefault="0094067A" w:rsidP="00A613BA">
      <w:pPr>
        <w:pStyle w:val="afffffff1"/>
        <w:rPr>
          <w:rFonts w:hint="cs"/>
          <w:rtl/>
        </w:rPr>
      </w:pPr>
      <w:r w:rsidRPr="008C0FB5">
        <w:rPr>
          <w:rFonts w:hint="cs"/>
          <w:rtl/>
        </w:rPr>
        <w:t xml:space="preserve">لا تجوز إجارة الإماء للزنى، لأنها إجارة على معصية، وقيل فيه نزل قوله تعالى: ﴿وَلَا تُكْرِهُوا فَتَيَاتِكُمْ عَلَى الْبِغَاء إِنْ أَرَدْنَ تَحَصُّناً لِّتَبْتَغُوا عَرَضَ الْحَيَاةِ </w:t>
      </w:r>
      <w:proofErr w:type="gramStart"/>
      <w:r w:rsidRPr="008C0FB5">
        <w:rPr>
          <w:rFonts w:hint="cs"/>
          <w:rtl/>
        </w:rPr>
        <w:t>الدُّنْيَا﴾</w:t>
      </w:r>
      <w:r w:rsidRPr="008C0FB5">
        <w:rPr>
          <w:rFonts w:hint="cs"/>
          <w:szCs w:val="30"/>
          <w:vertAlign w:val="superscript"/>
          <w:rtl/>
        </w:rPr>
        <w:t>(</w:t>
      </w:r>
      <w:proofErr w:type="gramEnd"/>
      <w:r w:rsidRPr="008C0FB5">
        <w:rPr>
          <w:rStyle w:val="af0"/>
          <w:sz w:val="30"/>
          <w:szCs w:val="30"/>
          <w:rtl/>
        </w:rPr>
        <w:footnoteReference w:id="235"/>
      </w:r>
      <w:r w:rsidRPr="008C0FB5">
        <w:rPr>
          <w:rFonts w:hint="cs"/>
          <w:szCs w:val="30"/>
          <w:vertAlign w:val="superscript"/>
          <w:rtl/>
        </w:rPr>
        <w:t>)</w:t>
      </w:r>
      <w:r w:rsidRPr="008C0FB5">
        <w:rPr>
          <w:rFonts w:hint="cs"/>
          <w:rtl/>
        </w:rPr>
        <w:t>. وروي عن رسول الله</w:t>
      </w:r>
      <w:r w:rsidR="003E1E9A" w:rsidRPr="008C0FB5">
        <w:rPr>
          <w:rFonts w:ascii="Abo-thar" w:hAnsi="Abo-thar" w:hint="cs"/>
        </w:rPr>
        <w:t></w:t>
      </w:r>
      <w:r w:rsidRPr="008C0FB5">
        <w:rPr>
          <w:rFonts w:hint="cs"/>
          <w:rtl/>
        </w:rPr>
        <w:t xml:space="preserve"> انه نهى عن مهر البغي وهو أجر الزانية على </w:t>
      </w:r>
      <w:proofErr w:type="gramStart"/>
      <w:r w:rsidRPr="008C0FB5">
        <w:rPr>
          <w:rFonts w:hint="cs"/>
          <w:rtl/>
        </w:rPr>
        <w:t>الزنى</w:t>
      </w:r>
      <w:r w:rsidRPr="008C0FB5">
        <w:rPr>
          <w:rFonts w:hint="cs"/>
          <w:szCs w:val="30"/>
          <w:vertAlign w:val="superscript"/>
          <w:rtl/>
        </w:rPr>
        <w:t>(</w:t>
      </w:r>
      <w:proofErr w:type="gramEnd"/>
      <w:r w:rsidRPr="008C0FB5">
        <w:rPr>
          <w:rStyle w:val="af0"/>
          <w:sz w:val="30"/>
          <w:szCs w:val="30"/>
          <w:rtl/>
        </w:rPr>
        <w:footnoteReference w:id="236"/>
      </w:r>
      <w:r w:rsidRPr="008C0FB5">
        <w:rPr>
          <w:rFonts w:hint="cs"/>
          <w:szCs w:val="30"/>
          <w:vertAlign w:val="superscript"/>
          <w:rtl/>
        </w:rPr>
        <w:t>)</w:t>
      </w:r>
      <w:r w:rsidRPr="008C0FB5">
        <w:rPr>
          <w:rFonts w:hint="cs"/>
          <w:rtl/>
        </w:rPr>
        <w:t>.</w:t>
      </w:r>
    </w:p>
    <w:p w14:paraId="409DB815" w14:textId="77777777" w:rsidR="0094067A" w:rsidRPr="008C0FB5" w:rsidRDefault="0094067A" w:rsidP="00C35031">
      <w:pPr>
        <w:pStyle w:val="35"/>
        <w:rPr>
          <w:rFonts w:hint="cs"/>
          <w:rtl/>
        </w:rPr>
      </w:pPr>
      <w:r w:rsidRPr="008C0FB5">
        <w:rPr>
          <w:rFonts w:hint="cs"/>
          <w:rtl/>
        </w:rPr>
        <w:t xml:space="preserve">وجاء في البدائع أيضاً: </w:t>
      </w:r>
    </w:p>
    <w:p w14:paraId="7DABD524" w14:textId="77777777" w:rsidR="0094067A" w:rsidRPr="008C0FB5" w:rsidRDefault="0094067A" w:rsidP="00921573">
      <w:pPr>
        <w:pStyle w:val="afffffff1"/>
        <w:spacing w:line="228" w:lineRule="auto"/>
        <w:rPr>
          <w:rFonts w:hint="cs"/>
          <w:rtl/>
        </w:rPr>
      </w:pPr>
      <w:r w:rsidRPr="008C0FB5">
        <w:rPr>
          <w:rFonts w:hint="cs"/>
          <w:rtl/>
        </w:rPr>
        <w:t>ولو اشترى قمرية على انها تصوت، أو طير على انه يجيء من مكان بعيد، أو كبشاً على انه نطاح، أو ديكاً على انه مقاتل، فالبيع فاسد عند أبي حنيفة، وهو أحد الروايتين عن محمد (رح) لأن هذه صفات يتلهى بها عادة، والتلهي محظور فكان شرطاً محظوراً، فيوجب فساد البيع، ولو اشترى جارية على انها مغنية على سبيل الرغبة فيها، فالبيع فاسد لأن التغنية صفة محظورة لكونها لهواً، فشرطها في البيع يوجب فساده، ولو اشترى جارية على انها مغنية على وجه إظهار العيب، جاز البيع لأن هذا البيع بشرط البراءة عن هذا العيب، فصار كما لو باعها بشرط البراءة عن عيب آخر فان وجدها لا تغني لا خيار له لأن الغناء في الجواري عيب، فصارت كما لو اشترى على انه معيب فوجده سليماً</w:t>
      </w:r>
      <w:r w:rsidRPr="008C0FB5">
        <w:rPr>
          <w:rFonts w:hint="cs"/>
          <w:szCs w:val="30"/>
          <w:vertAlign w:val="superscript"/>
          <w:rtl/>
        </w:rPr>
        <w:t>(</w:t>
      </w:r>
      <w:r w:rsidRPr="008C0FB5">
        <w:rPr>
          <w:rStyle w:val="af0"/>
          <w:sz w:val="30"/>
          <w:szCs w:val="30"/>
          <w:rtl/>
        </w:rPr>
        <w:footnoteReference w:id="237"/>
      </w:r>
      <w:r w:rsidRPr="008C0FB5">
        <w:rPr>
          <w:rFonts w:hint="cs"/>
          <w:szCs w:val="30"/>
          <w:vertAlign w:val="superscript"/>
          <w:rtl/>
        </w:rPr>
        <w:t>)</w:t>
      </w:r>
      <w:r w:rsidRPr="008C0FB5">
        <w:rPr>
          <w:rFonts w:hint="cs"/>
          <w:rtl/>
        </w:rPr>
        <w:t>.</w:t>
      </w:r>
    </w:p>
    <w:p w14:paraId="441CCC46" w14:textId="77777777" w:rsidR="0094067A" w:rsidRPr="008C0FB5" w:rsidRDefault="0094067A" w:rsidP="00921573">
      <w:pPr>
        <w:pStyle w:val="35"/>
        <w:spacing w:line="240" w:lineRule="auto"/>
        <w:rPr>
          <w:rFonts w:hint="cs"/>
          <w:rtl/>
        </w:rPr>
      </w:pPr>
      <w:r w:rsidRPr="008C0FB5">
        <w:rPr>
          <w:rFonts w:hint="cs"/>
          <w:rtl/>
        </w:rPr>
        <w:t>وهذا المثال الأخير يظهر بجلاء كيف ان الشيء الواحد قد يكون مشروعاً، وقد يكون غير مشروع تبعاً لنية المتعاقدين، في مثال الجارية، إذا كان الباعث على شرائها الرغبة في غنائها كان العقد فاسداً، لعدم مشروعية الباعث، لأن التلهي غير مشروع، أما إذا لم يكن الغناء هو الباعث على التعاقد وكانت الإشارة في العقد إلى كون الجارية مغنية، هو على سبيل إظهار عيبها، لم يكن السبب المصلحي غير مشروع ومن ثم كان العقد صحيحاً.</w:t>
      </w:r>
    </w:p>
    <w:p w14:paraId="1FD57F8F" w14:textId="77777777" w:rsidR="0094067A" w:rsidRPr="008C0FB5" w:rsidRDefault="0094067A" w:rsidP="00C35031">
      <w:pPr>
        <w:pStyle w:val="35"/>
        <w:rPr>
          <w:rFonts w:hint="cs"/>
          <w:rtl/>
        </w:rPr>
      </w:pPr>
      <w:r w:rsidRPr="008C0FB5">
        <w:rPr>
          <w:rFonts w:hint="cs"/>
          <w:rtl/>
        </w:rPr>
        <w:t xml:space="preserve">وجاء في البدائع أيضاً: </w:t>
      </w:r>
    </w:p>
    <w:p w14:paraId="5C8B5A87" w14:textId="77777777" w:rsidR="0094067A" w:rsidRPr="008C0FB5" w:rsidRDefault="0094067A" w:rsidP="00A613BA">
      <w:pPr>
        <w:pStyle w:val="afffffff1"/>
        <w:rPr>
          <w:rFonts w:hint="cs"/>
          <w:rtl/>
        </w:rPr>
      </w:pPr>
      <w:r w:rsidRPr="008C0FB5">
        <w:rPr>
          <w:rFonts w:hint="cs"/>
          <w:rtl/>
        </w:rPr>
        <w:t xml:space="preserve">فأما إذا شرط بأن استأجر ذمي داراً من مسلم في مصر من أمصار المسلمين ليتخذها مصلى للعامة لم تجز الإجارة لأنها إجارة على </w:t>
      </w:r>
      <w:proofErr w:type="gramStart"/>
      <w:r w:rsidRPr="008C0FB5">
        <w:rPr>
          <w:rFonts w:hint="cs"/>
          <w:rtl/>
        </w:rPr>
        <w:t>معصية</w:t>
      </w:r>
      <w:r w:rsidRPr="008C0FB5">
        <w:rPr>
          <w:rFonts w:hint="cs"/>
          <w:szCs w:val="30"/>
          <w:vertAlign w:val="superscript"/>
          <w:rtl/>
        </w:rPr>
        <w:t>(</w:t>
      </w:r>
      <w:proofErr w:type="gramEnd"/>
      <w:r w:rsidRPr="008C0FB5">
        <w:rPr>
          <w:rStyle w:val="af0"/>
          <w:sz w:val="30"/>
          <w:szCs w:val="30"/>
          <w:rtl/>
        </w:rPr>
        <w:footnoteReference w:id="238"/>
      </w:r>
      <w:r w:rsidRPr="008C0FB5">
        <w:rPr>
          <w:rFonts w:hint="cs"/>
          <w:szCs w:val="30"/>
          <w:vertAlign w:val="superscript"/>
          <w:rtl/>
        </w:rPr>
        <w:t>)</w:t>
      </w:r>
      <w:r w:rsidRPr="008C0FB5">
        <w:rPr>
          <w:rFonts w:hint="cs"/>
          <w:rtl/>
        </w:rPr>
        <w:t>.</w:t>
      </w:r>
    </w:p>
    <w:p w14:paraId="691CD51E" w14:textId="77777777" w:rsidR="0094067A" w:rsidRPr="008C0FB5" w:rsidRDefault="0094067A" w:rsidP="00C35031">
      <w:pPr>
        <w:pStyle w:val="35"/>
        <w:rPr>
          <w:rFonts w:hint="cs"/>
          <w:rtl/>
        </w:rPr>
      </w:pPr>
      <w:r w:rsidRPr="008C0FB5">
        <w:rPr>
          <w:rFonts w:hint="cs"/>
          <w:rtl/>
        </w:rPr>
        <w:t xml:space="preserve">وفي ابن عابدين: </w:t>
      </w:r>
    </w:p>
    <w:p w14:paraId="1228C534" w14:textId="77777777" w:rsidR="0094067A" w:rsidRPr="008C0FB5" w:rsidRDefault="0094067A" w:rsidP="00A613BA">
      <w:pPr>
        <w:pStyle w:val="afffffff1"/>
        <w:rPr>
          <w:rFonts w:hint="cs"/>
          <w:rtl/>
        </w:rPr>
      </w:pPr>
      <w:r w:rsidRPr="008C0FB5">
        <w:rPr>
          <w:rFonts w:hint="cs"/>
          <w:rtl/>
        </w:rPr>
        <w:t xml:space="preserve">لا تصح الإجارة لأجل المعاصي مثل الغناء والنوح والملاهي ولو أخذ بلا شرط يباح، والملاهي هي كالمزامير والطبل، وإذا كان الطبل لغير اللهو، فلا بأس به كطبل الغزاة والعرس لما في الأجناس، ولا بأس أن يكون ليلة العرس ليعلن النكاح... وفي المنتفى: امرأة نائحة أو صاحبة </w:t>
      </w:r>
      <w:r w:rsidRPr="008C0FB5">
        <w:rPr>
          <w:rFonts w:hint="cs"/>
          <w:rtl/>
        </w:rPr>
        <w:lastRenderedPageBreak/>
        <w:t xml:space="preserve">طبل أو زمراً اكتسبت مالاً ردته إلى أربابه إن علموا، وإلا تتصدق به وإن كان من غير شرط فهو </w:t>
      </w:r>
      <w:proofErr w:type="gramStart"/>
      <w:r w:rsidRPr="008C0FB5">
        <w:rPr>
          <w:rFonts w:hint="cs"/>
          <w:rtl/>
        </w:rPr>
        <w:t>لها</w:t>
      </w:r>
      <w:r w:rsidRPr="008C0FB5">
        <w:rPr>
          <w:rFonts w:hint="cs"/>
          <w:szCs w:val="30"/>
          <w:vertAlign w:val="superscript"/>
          <w:rtl/>
        </w:rPr>
        <w:t>(</w:t>
      </w:r>
      <w:proofErr w:type="gramEnd"/>
      <w:r w:rsidRPr="008C0FB5">
        <w:rPr>
          <w:rStyle w:val="af0"/>
          <w:sz w:val="30"/>
          <w:szCs w:val="30"/>
          <w:rtl/>
        </w:rPr>
        <w:footnoteReference w:id="239"/>
      </w:r>
      <w:r w:rsidRPr="008C0FB5">
        <w:rPr>
          <w:rFonts w:hint="cs"/>
          <w:szCs w:val="30"/>
          <w:vertAlign w:val="superscript"/>
          <w:rtl/>
        </w:rPr>
        <w:t>)</w:t>
      </w:r>
      <w:r w:rsidRPr="008C0FB5">
        <w:rPr>
          <w:rFonts w:hint="cs"/>
          <w:rtl/>
        </w:rPr>
        <w:t>.</w:t>
      </w:r>
    </w:p>
    <w:p w14:paraId="4122258C" w14:textId="77777777" w:rsidR="0094067A" w:rsidRPr="008C0FB5" w:rsidRDefault="0094067A" w:rsidP="00C35031">
      <w:pPr>
        <w:pStyle w:val="35"/>
        <w:rPr>
          <w:rFonts w:hint="cs"/>
          <w:rtl/>
        </w:rPr>
      </w:pPr>
      <w:r w:rsidRPr="008C0FB5">
        <w:rPr>
          <w:rFonts w:hint="cs"/>
          <w:rtl/>
        </w:rPr>
        <w:t xml:space="preserve">ويلاحظ ان عقد إجارة أدوات الملاهي تدور صحته حول الغرض من الانتفاع بهذه الأدوات المذكورة في العقد، فإن كان يهدف إلى اللهو المحض كان العقد فاسداً وإن كان لإعلان العرس أو ما شاكلها كان العقد صحيحاً.  </w:t>
      </w:r>
    </w:p>
    <w:p w14:paraId="5607348A" w14:textId="77777777" w:rsidR="0094067A" w:rsidRPr="008C0FB5" w:rsidRDefault="0094067A" w:rsidP="00921573">
      <w:pPr>
        <w:pStyle w:val="48"/>
        <w:rPr>
          <w:rFonts w:hint="cs"/>
          <w:b/>
          <w:bCs/>
          <w:rtl/>
        </w:rPr>
      </w:pPr>
      <w:r w:rsidRPr="008C0FB5">
        <w:rPr>
          <w:rFonts w:hint="cs"/>
          <w:b/>
          <w:bCs/>
          <w:rtl/>
        </w:rPr>
        <w:t xml:space="preserve">ومن صور الحالة الثانية: </w:t>
      </w:r>
    </w:p>
    <w:p w14:paraId="6D777350" w14:textId="77777777" w:rsidR="0094067A" w:rsidRPr="008C0FB5" w:rsidRDefault="0094067A" w:rsidP="00C35031">
      <w:pPr>
        <w:pStyle w:val="48"/>
        <w:rPr>
          <w:rFonts w:hint="cs"/>
          <w:rtl/>
        </w:rPr>
      </w:pPr>
      <w:r w:rsidRPr="008C0FB5">
        <w:rPr>
          <w:rFonts w:hint="cs"/>
          <w:rtl/>
        </w:rPr>
        <w:t xml:space="preserve">ما جاء في البدائع: </w:t>
      </w:r>
    </w:p>
    <w:p w14:paraId="1A8FB475" w14:textId="77777777" w:rsidR="0094067A" w:rsidRPr="008C0FB5" w:rsidRDefault="0094067A" w:rsidP="00A613BA">
      <w:pPr>
        <w:pStyle w:val="afffffff1"/>
        <w:rPr>
          <w:rFonts w:hint="cs"/>
          <w:rtl/>
        </w:rPr>
      </w:pPr>
      <w:r w:rsidRPr="008C0FB5">
        <w:rPr>
          <w:rFonts w:hint="cs"/>
          <w:rtl/>
        </w:rPr>
        <w:t xml:space="preserve">ويجوز بيع آلات الملاهي من البربط والطبل والمزمار والدف ونحو ذلك عند أبي حنيفة لكنه يكره، وعند أبي يوسف ومحمد لا ينعقد بيع هذه الأشياء لأنها آلات معدة للتلهي بها موضوعة للفسق والفساد، فلا تكون أموالاً فلا يجوز بيعها، ولأبي حنيفة انه يمكن الانتفاع بها من جهة </w:t>
      </w:r>
      <w:proofErr w:type="gramStart"/>
      <w:r w:rsidRPr="008C0FB5">
        <w:rPr>
          <w:rFonts w:hint="cs"/>
          <w:rtl/>
        </w:rPr>
        <w:t>أخرى</w:t>
      </w:r>
      <w:r w:rsidRPr="008C0FB5">
        <w:rPr>
          <w:rFonts w:hint="cs"/>
          <w:szCs w:val="30"/>
          <w:vertAlign w:val="superscript"/>
          <w:rtl/>
        </w:rPr>
        <w:t>(</w:t>
      </w:r>
      <w:proofErr w:type="gramEnd"/>
      <w:r w:rsidRPr="008C0FB5">
        <w:rPr>
          <w:rStyle w:val="af0"/>
          <w:sz w:val="30"/>
          <w:szCs w:val="30"/>
          <w:rtl/>
        </w:rPr>
        <w:footnoteReference w:id="240"/>
      </w:r>
      <w:r w:rsidRPr="008C0FB5">
        <w:rPr>
          <w:rFonts w:hint="cs"/>
          <w:szCs w:val="30"/>
          <w:vertAlign w:val="superscript"/>
          <w:rtl/>
        </w:rPr>
        <w:t>)</w:t>
      </w:r>
      <w:r w:rsidRPr="008C0FB5">
        <w:rPr>
          <w:rFonts w:hint="cs"/>
          <w:rtl/>
        </w:rPr>
        <w:t>.</w:t>
      </w:r>
    </w:p>
    <w:p w14:paraId="160AB1AA" w14:textId="77777777" w:rsidR="0094067A" w:rsidRPr="008C0FB5" w:rsidRDefault="0094067A" w:rsidP="00C35031">
      <w:pPr>
        <w:pStyle w:val="35"/>
        <w:rPr>
          <w:rFonts w:hint="cs"/>
          <w:rtl/>
        </w:rPr>
      </w:pPr>
      <w:r w:rsidRPr="008C0FB5">
        <w:rPr>
          <w:rFonts w:hint="cs"/>
          <w:rtl/>
        </w:rPr>
        <w:t xml:space="preserve">وكذلك ما جاء فيه أيضاً: </w:t>
      </w:r>
    </w:p>
    <w:p w14:paraId="334E9356" w14:textId="77777777" w:rsidR="0094067A" w:rsidRPr="008C0FB5" w:rsidRDefault="0094067A" w:rsidP="00A613BA">
      <w:pPr>
        <w:pStyle w:val="afffffff1"/>
        <w:rPr>
          <w:rFonts w:hint="cs"/>
          <w:rtl/>
        </w:rPr>
      </w:pPr>
      <w:r w:rsidRPr="008C0FB5">
        <w:rPr>
          <w:rFonts w:hint="cs"/>
          <w:rtl/>
        </w:rPr>
        <w:t xml:space="preserve">وأما القرد فعن أبي حنيفة روايتان، وجه رواية عدم الجواز لأنه غير منتفع به شرعاً، فلا يكون مالاً كالخنزير، ووجه رواية الجواز لأنه إن لم يكن منتفع به بذاته، يمكن الانتفاع بجلده، والصحيح هو الأول لأنه لا يشترى للانتفاع بجلده عادة، بل للهو به، وهو حرام، فكان هذا بيع الحرام للحرام، وانه لا </w:t>
      </w:r>
      <w:proofErr w:type="gramStart"/>
      <w:r w:rsidRPr="008C0FB5">
        <w:rPr>
          <w:rFonts w:hint="cs"/>
          <w:rtl/>
        </w:rPr>
        <w:t>يجوز</w:t>
      </w:r>
      <w:r w:rsidRPr="008C0FB5">
        <w:rPr>
          <w:rFonts w:hint="cs"/>
          <w:szCs w:val="30"/>
          <w:vertAlign w:val="superscript"/>
          <w:rtl/>
        </w:rPr>
        <w:t>(</w:t>
      </w:r>
      <w:proofErr w:type="gramEnd"/>
      <w:r w:rsidRPr="008C0FB5">
        <w:rPr>
          <w:rStyle w:val="af0"/>
          <w:sz w:val="30"/>
          <w:szCs w:val="30"/>
          <w:rtl/>
        </w:rPr>
        <w:footnoteReference w:id="241"/>
      </w:r>
      <w:r w:rsidRPr="008C0FB5">
        <w:rPr>
          <w:rFonts w:hint="cs"/>
          <w:szCs w:val="30"/>
          <w:vertAlign w:val="superscript"/>
          <w:rtl/>
        </w:rPr>
        <w:t>)</w:t>
      </w:r>
      <w:r w:rsidRPr="008C0FB5">
        <w:rPr>
          <w:rFonts w:hint="cs"/>
          <w:rtl/>
        </w:rPr>
        <w:t>.</w:t>
      </w:r>
    </w:p>
    <w:p w14:paraId="68771624" w14:textId="77777777" w:rsidR="0094067A" w:rsidRPr="008C0FB5" w:rsidRDefault="0094067A" w:rsidP="00C35031">
      <w:pPr>
        <w:pStyle w:val="35"/>
        <w:rPr>
          <w:rFonts w:hint="cs"/>
          <w:rtl/>
        </w:rPr>
      </w:pPr>
      <w:r w:rsidRPr="008C0FB5">
        <w:rPr>
          <w:rFonts w:hint="cs"/>
          <w:rtl/>
        </w:rPr>
        <w:t xml:space="preserve">وفي هذه الحالة الأخيرة يكون الباعث الدافع هو المعيار الذي يعول عليه في تحديد مشروعية المحل للتعامل به، وبالتالي صحة العقد من عدمه، فالقرد إن بيع لغرض اللهو به فهو بيع باطل، في إحدى الروايتين عند الإمام أبي حنيفة، وإن بيع بقصد الانتفاع من جلده، فالبيع صحيح، وكذلك الحال بالنسبة لمثال آلات اللهو فهو جائز إذا كان لغرض إشهار العرس أو </w:t>
      </w:r>
      <w:proofErr w:type="gramStart"/>
      <w:r w:rsidRPr="008C0FB5">
        <w:rPr>
          <w:rFonts w:hint="cs"/>
          <w:rtl/>
        </w:rPr>
        <w:t>للقافلة</w:t>
      </w:r>
      <w:proofErr w:type="gramEnd"/>
      <w:r w:rsidRPr="008C0FB5">
        <w:rPr>
          <w:rFonts w:hint="cs"/>
          <w:rtl/>
        </w:rPr>
        <w:t xml:space="preserve"> ولكن إذا كان شرائها لغرض التلهي بها فهو باطل.</w:t>
      </w:r>
    </w:p>
    <w:p w14:paraId="3B99635B" w14:textId="77777777" w:rsidR="0094067A" w:rsidRPr="008C0FB5" w:rsidRDefault="0094067A" w:rsidP="00C35031">
      <w:pPr>
        <w:pStyle w:val="35"/>
        <w:rPr>
          <w:rFonts w:hint="cs"/>
          <w:rtl/>
        </w:rPr>
      </w:pPr>
      <w:r w:rsidRPr="008C0FB5">
        <w:rPr>
          <w:rFonts w:hint="cs"/>
          <w:rtl/>
        </w:rPr>
        <w:t xml:space="preserve">ولم يقف فقهاء الحنفية عند هذا الحد إذ أبطلوا العقود التي يكون الباعث على إبرامها غير مشروع إذا أمكن استخلاص هذا الباعث غير المشروع من الظروف والملابسات المحيطة بالعقد، ومثال ذلك ما أورده الكاساني بالنسبة لبيع العينة إذا جاء فيه: </w:t>
      </w:r>
    </w:p>
    <w:p w14:paraId="068572B4" w14:textId="77777777" w:rsidR="0094067A" w:rsidRPr="008C0FB5" w:rsidRDefault="0094067A" w:rsidP="00A613BA">
      <w:pPr>
        <w:pStyle w:val="afffffff1"/>
        <w:rPr>
          <w:rFonts w:hint="cs"/>
          <w:rtl/>
        </w:rPr>
      </w:pPr>
      <w:r w:rsidRPr="008C0FB5">
        <w:rPr>
          <w:rFonts w:hint="cs"/>
          <w:rtl/>
        </w:rPr>
        <w:t xml:space="preserve">... وعلى هذا يخرج ما إذا بع رجلاً شيئاً نقداً أو نسيئة، وقبضه المشتري، ولم ينقد ثمنه، انه لا يجوز لبائعه أن يشتريه من مشتريه بأقل من ثمنه الذي باعه منه. وعند الشافعي (رح) يجوز وجه قوله ان هذا بيع استجمع شرائط جوازه، وخلا عن الشروط المفسدة إياه، فلا معنى للحكم بفساده، كما إذا اشتراه بعد نقد </w:t>
      </w:r>
      <w:proofErr w:type="gramStart"/>
      <w:r w:rsidRPr="008C0FB5">
        <w:rPr>
          <w:rFonts w:hint="cs"/>
          <w:rtl/>
        </w:rPr>
        <w:t>الثمن</w:t>
      </w:r>
      <w:r w:rsidRPr="008C0FB5">
        <w:rPr>
          <w:rFonts w:hint="cs"/>
          <w:szCs w:val="30"/>
          <w:vertAlign w:val="superscript"/>
          <w:rtl/>
        </w:rPr>
        <w:t>(</w:t>
      </w:r>
      <w:proofErr w:type="gramEnd"/>
      <w:r w:rsidRPr="008C0FB5">
        <w:rPr>
          <w:rStyle w:val="af0"/>
          <w:sz w:val="30"/>
          <w:szCs w:val="30"/>
          <w:rtl/>
        </w:rPr>
        <w:footnoteReference w:id="242"/>
      </w:r>
      <w:r w:rsidRPr="008C0FB5">
        <w:rPr>
          <w:rFonts w:hint="cs"/>
          <w:szCs w:val="30"/>
          <w:vertAlign w:val="superscript"/>
          <w:rtl/>
        </w:rPr>
        <w:t>)</w:t>
      </w:r>
      <w:r w:rsidRPr="008C0FB5">
        <w:rPr>
          <w:rFonts w:hint="cs"/>
          <w:rtl/>
        </w:rPr>
        <w:t>.</w:t>
      </w:r>
    </w:p>
    <w:p w14:paraId="488E124C" w14:textId="77777777" w:rsidR="0094067A" w:rsidRPr="008C0FB5" w:rsidRDefault="0094067A" w:rsidP="00C35031">
      <w:pPr>
        <w:pStyle w:val="35"/>
        <w:rPr>
          <w:rFonts w:hint="cs"/>
          <w:rtl/>
        </w:rPr>
      </w:pPr>
      <w:r w:rsidRPr="008C0FB5">
        <w:rPr>
          <w:rFonts w:hint="cs"/>
          <w:rtl/>
        </w:rPr>
        <w:t>فبيع العينة في الحقيقة هو عملية قرض بفائدة لا غير، أما البيع فكان حيلة للتوصل إلى القرض بفائدة، وهو غرض غير مشروع.</w:t>
      </w:r>
    </w:p>
    <w:p w14:paraId="0D60BC36" w14:textId="77777777" w:rsidR="0094067A" w:rsidRPr="008C0FB5" w:rsidRDefault="0094067A" w:rsidP="00C35031">
      <w:pPr>
        <w:pStyle w:val="35"/>
        <w:rPr>
          <w:rFonts w:hint="cs"/>
          <w:rtl/>
        </w:rPr>
      </w:pPr>
      <w:r w:rsidRPr="008C0FB5">
        <w:rPr>
          <w:rFonts w:hint="cs"/>
          <w:rtl/>
        </w:rPr>
        <w:t xml:space="preserve">ولذلك نجد ان الحنفية أبطلوا مثل هذا البيع على أساس الغرض غير المشروع المراد تحقيقه اعتماداً على الظروف والملابسات المقارنة لعقد البيع، أما الشافعية فنجدهم يصححون مثل هذا العقد ذلك ان الغرض غير المشروع لم يظهر في صلب التعبير عن الإرادة، ولذلك فلا يمكن </w:t>
      </w:r>
      <w:r w:rsidRPr="008C0FB5">
        <w:rPr>
          <w:rFonts w:hint="cs"/>
          <w:rtl/>
        </w:rPr>
        <w:lastRenderedPageBreak/>
        <w:t>الاعتداد به كسبب لإبطال العقد لأنه خارج عن إطار العقد.</w:t>
      </w:r>
    </w:p>
    <w:p w14:paraId="53212BD9" w14:textId="77777777" w:rsidR="0094067A" w:rsidRPr="008C0FB5" w:rsidRDefault="0094067A" w:rsidP="00C253D0">
      <w:pPr>
        <w:pStyle w:val="affffffd"/>
        <w:rPr>
          <w:rFonts w:hint="cs"/>
          <w:rtl/>
        </w:rPr>
      </w:pPr>
      <w:r w:rsidRPr="008C0FB5">
        <w:rPr>
          <w:rFonts w:hint="cs"/>
          <w:rtl/>
        </w:rPr>
        <w:t>الخلاصة من هذا الفصل:</w:t>
      </w:r>
    </w:p>
    <w:p w14:paraId="3A9C0191" w14:textId="77777777" w:rsidR="0094067A" w:rsidRPr="008C0FB5" w:rsidRDefault="0094067A" w:rsidP="00C35031">
      <w:pPr>
        <w:pStyle w:val="48"/>
        <w:rPr>
          <w:rFonts w:hint="cs"/>
          <w:rtl/>
        </w:rPr>
      </w:pPr>
      <w:r w:rsidRPr="008C0FB5">
        <w:rPr>
          <w:rFonts w:hint="cs"/>
          <w:rtl/>
        </w:rPr>
        <w:t xml:space="preserve">إن الفقهاء المسلمين لم يقفوا من الاعتداد بعدم مشروعية الباعث موقفاً موحداً، بل منهم </w:t>
      </w:r>
      <w:r w:rsidRPr="008C0FB5">
        <w:rPr>
          <w:rFonts w:ascii="Times New Roman" w:hAnsi="Times New Roman" w:cs="Times New Roman" w:hint="cs"/>
          <w:rtl/>
        </w:rPr>
        <w:t>–</w:t>
      </w:r>
      <w:r w:rsidRPr="008C0FB5">
        <w:rPr>
          <w:rFonts w:hint="cs"/>
          <w:rtl/>
        </w:rPr>
        <w:t xml:space="preserve"> وهم الشافعية </w:t>
      </w:r>
      <w:r w:rsidRPr="008C0FB5">
        <w:rPr>
          <w:rFonts w:ascii="Times New Roman" w:hAnsi="Times New Roman" w:cs="Times New Roman" w:hint="cs"/>
          <w:rtl/>
        </w:rPr>
        <w:t>–</w:t>
      </w:r>
      <w:r w:rsidRPr="008C0FB5">
        <w:rPr>
          <w:rFonts w:hint="cs"/>
          <w:rtl/>
        </w:rPr>
        <w:t xml:space="preserve"> من مال إلى التضييق في هذا الاعتداد، والتزام جانب القصد، فلم </w:t>
      </w:r>
      <w:proofErr w:type="gramStart"/>
      <w:r w:rsidRPr="008C0FB5">
        <w:rPr>
          <w:rFonts w:hint="cs"/>
          <w:rtl/>
        </w:rPr>
        <w:t>يقضي</w:t>
      </w:r>
      <w:proofErr w:type="gramEnd"/>
      <w:r w:rsidRPr="008C0FB5">
        <w:rPr>
          <w:rFonts w:hint="cs"/>
          <w:rtl/>
        </w:rPr>
        <w:t xml:space="preserve"> ببطلان العقد الملوث بعدم المشروعية إلا إذا جاء في متن العقد. ومنهم </w:t>
      </w:r>
      <w:proofErr w:type="gramStart"/>
      <w:r w:rsidRPr="008C0FB5">
        <w:rPr>
          <w:rFonts w:hint="cs"/>
          <w:rtl/>
        </w:rPr>
        <w:t>-  كالحنفية</w:t>
      </w:r>
      <w:proofErr w:type="gramEnd"/>
      <w:r w:rsidRPr="008C0FB5">
        <w:rPr>
          <w:rFonts w:hint="cs"/>
          <w:rtl/>
        </w:rPr>
        <w:t xml:space="preserve"> </w:t>
      </w:r>
      <w:r w:rsidRPr="008C0FB5">
        <w:rPr>
          <w:rFonts w:ascii="Times New Roman" w:hAnsi="Times New Roman" w:cs="Times New Roman" w:hint="cs"/>
          <w:rtl/>
        </w:rPr>
        <w:t>–</w:t>
      </w:r>
      <w:r w:rsidRPr="008C0FB5">
        <w:rPr>
          <w:rFonts w:hint="cs"/>
          <w:rtl/>
        </w:rPr>
        <w:t xml:space="preserve"> من وسع من النطاق الذي حصره الشافعية فاعتد بالباعث إذا أمكن استخلاصه من محل العقد.</w:t>
      </w:r>
    </w:p>
    <w:p w14:paraId="0DF4FA6F" w14:textId="77777777" w:rsidR="0094067A" w:rsidRPr="008C0FB5" w:rsidRDefault="0094067A" w:rsidP="00C35031">
      <w:pPr>
        <w:pStyle w:val="35"/>
        <w:rPr>
          <w:rFonts w:hint="cs"/>
          <w:rtl/>
        </w:rPr>
      </w:pPr>
      <w:r w:rsidRPr="008C0FB5">
        <w:rPr>
          <w:rFonts w:hint="cs"/>
          <w:rtl/>
        </w:rPr>
        <w:t>أما الجعفرية والحنابلة والمالكية فقد مالوا إلى توسيع هذا المبدأ إلى أبعد من ذلك، فمد ببصره إلى ما توارى خلف العقد من بواعث، وقضى ببطلان العقد إذا كانت الدوافع إليه خبيثة غير مشروعة، غير انه تخلو صيغة العقد منها، مادام العاقد الآخر عالماً بها.</w:t>
      </w:r>
    </w:p>
    <w:p w14:paraId="0A38373D" w14:textId="77777777" w:rsidR="0094067A" w:rsidRPr="008C0FB5" w:rsidRDefault="0094067A" w:rsidP="00C35031">
      <w:pPr>
        <w:pStyle w:val="35"/>
        <w:rPr>
          <w:rFonts w:hint="cs"/>
          <w:rtl/>
        </w:rPr>
      </w:pPr>
      <w:r w:rsidRPr="008C0FB5">
        <w:rPr>
          <w:rFonts w:hint="cs"/>
          <w:rtl/>
        </w:rPr>
        <w:t xml:space="preserve">ولقد قدمت لنا دراستنا لقاعدة الذرائع دليلاً جديداً على نزوع الفريق الأول </w:t>
      </w:r>
      <w:r w:rsidRPr="008C0FB5">
        <w:rPr>
          <w:rFonts w:ascii="Times New Roman" w:hAnsi="Times New Roman" w:cs="Times New Roman" w:hint="cs"/>
          <w:rtl/>
        </w:rPr>
        <w:t>–</w:t>
      </w:r>
      <w:r w:rsidRPr="008C0FB5">
        <w:rPr>
          <w:rFonts w:hint="cs"/>
          <w:rtl/>
        </w:rPr>
        <w:t xml:space="preserve"> غير الآخذ بهذا المبدأ </w:t>
      </w:r>
      <w:r w:rsidRPr="008C0FB5">
        <w:rPr>
          <w:rFonts w:ascii="Times New Roman" w:hAnsi="Times New Roman" w:cs="Times New Roman" w:hint="cs"/>
          <w:rtl/>
        </w:rPr>
        <w:t>–</w:t>
      </w:r>
      <w:r w:rsidRPr="008C0FB5">
        <w:rPr>
          <w:rFonts w:hint="cs"/>
          <w:rtl/>
        </w:rPr>
        <w:t xml:space="preserve"> إلى التضييق من دائرة بطلان التصرفات لعدم المشروعية ونزوع الفريق الثاني الآخذ إلى الوقوف موقفاً وسطاً منها تبعاً لموقفه من قاعدة الذرائع، ونزوع الفريق الثالث </w:t>
      </w:r>
      <w:r w:rsidRPr="008C0FB5">
        <w:rPr>
          <w:rFonts w:ascii="Times New Roman" w:hAnsi="Times New Roman" w:cs="Times New Roman" w:hint="cs"/>
          <w:rtl/>
        </w:rPr>
        <w:t>–</w:t>
      </w:r>
      <w:r w:rsidRPr="008C0FB5">
        <w:rPr>
          <w:rFonts w:hint="cs"/>
          <w:rtl/>
        </w:rPr>
        <w:t xml:space="preserve"> الآخذ بهذا المبدأ أو ما شابهه من مبدأ مقدمات الواجب </w:t>
      </w:r>
      <w:r w:rsidRPr="008C0FB5">
        <w:rPr>
          <w:rFonts w:ascii="Times New Roman" w:hAnsi="Times New Roman" w:cs="Times New Roman" w:hint="cs"/>
          <w:rtl/>
        </w:rPr>
        <w:t>–</w:t>
      </w:r>
      <w:r w:rsidRPr="008C0FB5">
        <w:rPr>
          <w:rFonts w:hint="cs"/>
          <w:rtl/>
        </w:rPr>
        <w:t xml:space="preserve"> إلى التوسيع من هذه الدائرة.</w:t>
      </w:r>
    </w:p>
    <w:p w14:paraId="29ABDA81" w14:textId="77777777" w:rsidR="0094067A" w:rsidRPr="008C0FB5" w:rsidRDefault="0094067A" w:rsidP="00763506">
      <w:pPr>
        <w:pStyle w:val="35"/>
        <w:rPr>
          <w:rFonts w:ascii="hashemi" w:eastAsia="Times New Roman" w:hAnsi="hashemi" w:cs="hashemi"/>
          <w:szCs w:val="32"/>
          <w:rtl/>
        </w:rPr>
        <w:sectPr w:rsidR="0094067A" w:rsidRPr="008C0FB5" w:rsidSect="00763506">
          <w:headerReference w:type="default" r:id="rId24"/>
          <w:footnotePr>
            <w:numRestart w:val="eachPage"/>
          </w:footnotePr>
          <w:type w:val="oddPage"/>
          <w:pgSz w:w="11906" w:h="16838" w:code="9"/>
          <w:pgMar w:top="1701" w:right="1701" w:bottom="1701" w:left="1418" w:header="709" w:footer="1418" w:gutter="0"/>
          <w:cols w:space="708"/>
          <w:titlePg/>
          <w:bidi/>
          <w:rtlGutter/>
          <w:docGrid w:linePitch="360"/>
        </w:sectPr>
      </w:pPr>
    </w:p>
    <w:p w14:paraId="40EA5B4F" w14:textId="10B0B335" w:rsidR="0094067A" w:rsidRPr="008C0FB5" w:rsidRDefault="007C3C34" w:rsidP="0094067A">
      <w:pPr>
        <w:pStyle w:val="afffffff0"/>
        <w:rPr>
          <w:rFonts w:hint="cs"/>
          <w:color w:val="auto"/>
          <w:rtl/>
        </w:rPr>
      </w:pPr>
      <w:r w:rsidRPr="008C0FB5">
        <w:rPr>
          <w:noProof/>
          <w:color w:val="auto"/>
          <w:rtl/>
        </w:rPr>
        <w:lastRenderedPageBreak/>
        <w:drawing>
          <wp:anchor distT="0" distB="0" distL="114300" distR="114300" simplePos="0" relativeHeight="251663872" behindDoc="1" locked="0" layoutInCell="1" allowOverlap="1" wp14:anchorId="0F965263" wp14:editId="53236A45">
            <wp:simplePos x="0" y="0"/>
            <wp:positionH relativeFrom="margin">
              <wp:posOffset>-128905</wp:posOffset>
            </wp:positionH>
            <wp:positionV relativeFrom="page">
              <wp:posOffset>1009650</wp:posOffset>
            </wp:positionV>
            <wp:extent cx="5772785" cy="8601075"/>
            <wp:effectExtent l="0" t="0" r="0" b="0"/>
            <wp:wrapNone/>
            <wp:docPr id="177" name="Picture 29" descr="0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_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DB45F" w14:textId="77777777" w:rsidR="0094067A" w:rsidRDefault="0094067A" w:rsidP="0094067A">
      <w:pPr>
        <w:pStyle w:val="20"/>
        <w:rPr>
          <w:rFonts w:hint="cs"/>
          <w:rtl/>
        </w:rPr>
      </w:pPr>
    </w:p>
    <w:p w14:paraId="7DBD9612" w14:textId="77777777" w:rsidR="00F63793" w:rsidRDefault="00F63793" w:rsidP="0094067A">
      <w:pPr>
        <w:pStyle w:val="20"/>
        <w:rPr>
          <w:rFonts w:hint="cs"/>
          <w:rtl/>
        </w:rPr>
      </w:pPr>
    </w:p>
    <w:p w14:paraId="6D333097" w14:textId="77777777" w:rsidR="00F63793" w:rsidRPr="008C0FB5" w:rsidRDefault="00F63793" w:rsidP="0094067A">
      <w:pPr>
        <w:pStyle w:val="20"/>
        <w:rPr>
          <w:rFonts w:hint="cs"/>
          <w:rtl/>
        </w:rPr>
      </w:pPr>
    </w:p>
    <w:p w14:paraId="5FDBFB07" w14:textId="77777777" w:rsidR="0094067A" w:rsidRPr="008C0FB5" w:rsidRDefault="0094067A" w:rsidP="0094067A">
      <w:pPr>
        <w:pStyle w:val="20"/>
      </w:pPr>
      <w:bookmarkStart w:id="81" w:name="_Toc8643673"/>
      <w:r w:rsidRPr="008C0FB5">
        <w:rPr>
          <w:rtl/>
        </w:rPr>
        <w:t xml:space="preserve">الفصل </w:t>
      </w:r>
      <w:r w:rsidRPr="008C0FB5">
        <w:rPr>
          <w:rFonts w:hint="cs"/>
          <w:rtl/>
        </w:rPr>
        <w:t>الرابع</w:t>
      </w:r>
      <w:bookmarkEnd w:id="81"/>
    </w:p>
    <w:p w14:paraId="153A2439" w14:textId="77777777" w:rsidR="0094067A" w:rsidRPr="008C0FB5" w:rsidRDefault="0094067A" w:rsidP="0094067A">
      <w:pPr>
        <w:pStyle w:val="20"/>
        <w:rPr>
          <w:sz w:val="72"/>
          <w:rtl/>
        </w:rPr>
      </w:pPr>
      <w:bookmarkStart w:id="82" w:name="_Toc8643674"/>
      <w:r w:rsidRPr="008C0FB5">
        <w:rPr>
          <w:rtl/>
        </w:rPr>
        <w:t>نظرية الباعث في بعض النظم القانونية الوضعية</w:t>
      </w:r>
      <w:bookmarkEnd w:id="82"/>
    </w:p>
    <w:p w14:paraId="728C48AA" w14:textId="77777777" w:rsidR="0094067A" w:rsidRPr="008C0FB5" w:rsidRDefault="0094067A" w:rsidP="0094067A">
      <w:pPr>
        <w:pStyle w:val="35"/>
        <w:rPr>
          <w:rtl/>
        </w:rPr>
      </w:pPr>
    </w:p>
    <w:p w14:paraId="0ACC972D" w14:textId="77777777" w:rsidR="0094067A" w:rsidRPr="00241ACF" w:rsidRDefault="0094067A" w:rsidP="0094067A">
      <w:pPr>
        <w:pStyle w:val="35"/>
        <w:rPr>
          <w:color w:val="FFFFFF"/>
          <w:rtl/>
        </w:rPr>
      </w:pPr>
      <w:r w:rsidRPr="00241ACF">
        <w:rPr>
          <w:color w:val="FFFFFF"/>
          <w:rtl/>
        </w:rPr>
        <w:t xml:space="preserve">ويتضمن المباحث التالية: </w:t>
      </w:r>
    </w:p>
    <w:p w14:paraId="65D03EBC" w14:textId="77777777" w:rsidR="0094067A" w:rsidRPr="00241ACF" w:rsidRDefault="0094067A" w:rsidP="0094067A">
      <w:pPr>
        <w:pStyle w:val="1f1"/>
        <w:ind w:left="340"/>
        <w:jc w:val="left"/>
        <w:rPr>
          <w:color w:val="FFFFFF"/>
          <w:rtl/>
          <w:lang w:bidi="ar-IQ"/>
        </w:rPr>
      </w:pPr>
      <w:r w:rsidRPr="00241ACF">
        <w:rPr>
          <w:color w:val="FFFFFF"/>
          <w:rtl/>
          <w:lang w:bidi="ar-IQ"/>
        </w:rPr>
        <w:t>المبحث الاول: تعريف مصطلحات البحث والمفاهيم المرتبطة به</w:t>
      </w:r>
    </w:p>
    <w:p w14:paraId="0103A4A4" w14:textId="77777777" w:rsidR="0094067A" w:rsidRPr="00241ACF" w:rsidRDefault="0094067A" w:rsidP="0094067A">
      <w:pPr>
        <w:pStyle w:val="1f1"/>
        <w:ind w:left="340"/>
        <w:jc w:val="left"/>
        <w:rPr>
          <w:color w:val="FFFFFF"/>
          <w:rtl/>
          <w:lang w:bidi="ar-IQ"/>
        </w:rPr>
      </w:pPr>
      <w:r w:rsidRPr="00241ACF">
        <w:rPr>
          <w:color w:val="FFFFFF"/>
          <w:rtl/>
          <w:lang w:bidi="ar-IQ"/>
        </w:rPr>
        <w:t>المبحث الثاني: الايمان والكفر في مدرسة أهل البيت</w:t>
      </w:r>
      <w:r w:rsidRPr="00241ACF">
        <w:rPr>
          <w:rFonts w:ascii="Abo-thar" w:hAnsi="Abo-thar"/>
          <w:color w:val="FFFFFF"/>
          <w:lang w:bidi="ar-IQ"/>
        </w:rPr>
        <w:t></w:t>
      </w:r>
      <w:r w:rsidRPr="00241ACF">
        <w:rPr>
          <w:color w:val="FFFFFF"/>
          <w:rtl/>
          <w:lang w:bidi="ar-IQ"/>
        </w:rPr>
        <w:t xml:space="preserve"> ومدرسة الخلفاء</w:t>
      </w:r>
    </w:p>
    <w:p w14:paraId="03CFE21A" w14:textId="77777777" w:rsidR="0094067A" w:rsidRPr="00241ACF" w:rsidRDefault="0094067A" w:rsidP="0094067A">
      <w:pPr>
        <w:pStyle w:val="1f1"/>
        <w:ind w:left="340"/>
        <w:jc w:val="left"/>
        <w:rPr>
          <w:color w:val="FFFFFF"/>
          <w:rtl/>
          <w:lang w:bidi="ar-IQ"/>
        </w:rPr>
      </w:pPr>
      <w:r w:rsidRPr="00241ACF">
        <w:rPr>
          <w:color w:val="FFFFFF"/>
          <w:rtl/>
          <w:lang w:bidi="ar-IQ"/>
        </w:rPr>
        <w:t>المبحث الثالث: أنواع الكفر والتكفير</w:t>
      </w:r>
    </w:p>
    <w:p w14:paraId="5921AD9A" w14:textId="77777777" w:rsidR="0094067A" w:rsidRPr="00241ACF" w:rsidRDefault="0094067A" w:rsidP="0094067A">
      <w:pPr>
        <w:pStyle w:val="1f1"/>
        <w:ind w:left="340"/>
        <w:jc w:val="left"/>
        <w:rPr>
          <w:color w:val="FFFFFF"/>
          <w:rtl/>
          <w:lang w:bidi="ar-IQ"/>
        </w:rPr>
      </w:pPr>
      <w:r w:rsidRPr="00241ACF">
        <w:rPr>
          <w:color w:val="FFFFFF"/>
          <w:rtl/>
          <w:lang w:bidi="ar-IQ"/>
        </w:rPr>
        <w:t xml:space="preserve">المبحث الرابع: طُرق مرجعية الصحابة لفهم القرآن وأثارها على مباني التيارات التكفيرية </w:t>
      </w:r>
    </w:p>
    <w:p w14:paraId="7C0DCE15" w14:textId="77777777" w:rsidR="0094067A" w:rsidRPr="00241ACF" w:rsidRDefault="0094067A" w:rsidP="0094067A">
      <w:pPr>
        <w:pStyle w:val="1f1"/>
        <w:ind w:left="340"/>
        <w:jc w:val="left"/>
        <w:rPr>
          <w:rFonts w:hint="cs"/>
          <w:b/>
          <w:bCs/>
          <w:color w:val="FFFFFF"/>
          <w:sz w:val="30"/>
          <w:szCs w:val="30"/>
          <w:rtl/>
          <w:lang w:bidi="ar-IQ"/>
        </w:rPr>
      </w:pPr>
      <w:r w:rsidRPr="00241ACF">
        <w:rPr>
          <w:color w:val="FFFFFF"/>
          <w:rtl/>
          <w:lang w:bidi="ar-IQ"/>
        </w:rPr>
        <w:t>المبحث الخامس: أنواع مرجعية الصحابة في فهم القرآن</w:t>
      </w:r>
    </w:p>
    <w:p w14:paraId="38A7F41D" w14:textId="77777777" w:rsidR="0094067A" w:rsidRPr="008C0FB5" w:rsidRDefault="0094067A" w:rsidP="0094067A">
      <w:pPr>
        <w:pStyle w:val="35"/>
        <w:rPr>
          <w:rFonts w:hint="cs"/>
          <w:rtl/>
        </w:rPr>
      </w:pPr>
    </w:p>
    <w:p w14:paraId="1E4CD960" w14:textId="77777777" w:rsidR="0094067A" w:rsidRPr="008C0FB5" w:rsidRDefault="0094067A" w:rsidP="00763506">
      <w:pPr>
        <w:pStyle w:val="35"/>
        <w:rPr>
          <w:rFonts w:ascii="hashemi" w:eastAsia="Times New Roman" w:hAnsi="hashemi" w:cs="hashemi"/>
          <w:szCs w:val="32"/>
          <w:rtl/>
        </w:rPr>
        <w:sectPr w:rsidR="0094067A" w:rsidRPr="008C0FB5" w:rsidSect="00763506">
          <w:footnotePr>
            <w:numRestart w:val="eachPage"/>
          </w:footnotePr>
          <w:type w:val="oddPage"/>
          <w:pgSz w:w="11906" w:h="16838" w:code="9"/>
          <w:pgMar w:top="1701" w:right="1701" w:bottom="1701" w:left="1418" w:header="709" w:footer="1418" w:gutter="0"/>
          <w:cols w:space="708"/>
          <w:titlePg/>
          <w:bidi/>
          <w:rtlGutter/>
          <w:docGrid w:linePitch="360"/>
        </w:sectPr>
      </w:pPr>
    </w:p>
    <w:p w14:paraId="053BED61" w14:textId="77777777" w:rsidR="0094067A" w:rsidRPr="008C0FB5" w:rsidRDefault="0094067A" w:rsidP="00763506">
      <w:pPr>
        <w:pStyle w:val="35"/>
        <w:rPr>
          <w:rFonts w:ascii="hashemi" w:eastAsia="Times New Roman" w:hAnsi="hashemi" w:cs="hashemi" w:hint="cs"/>
          <w:szCs w:val="32"/>
          <w:rtl/>
        </w:rPr>
      </w:pPr>
    </w:p>
    <w:p w14:paraId="670E49E0" w14:textId="77777777" w:rsidR="0094067A" w:rsidRPr="008C0FB5" w:rsidRDefault="0094067A" w:rsidP="0094067A">
      <w:pPr>
        <w:pStyle w:val="48"/>
        <w:rPr>
          <w:rFonts w:hint="cs"/>
          <w:rtl/>
        </w:rPr>
      </w:pPr>
    </w:p>
    <w:p w14:paraId="2A34F396" w14:textId="77777777" w:rsidR="0094067A" w:rsidRPr="008C0FB5" w:rsidRDefault="0094067A" w:rsidP="0094067A">
      <w:pPr>
        <w:pStyle w:val="48"/>
        <w:rPr>
          <w:rFonts w:hint="cs"/>
          <w:rtl/>
        </w:rPr>
      </w:pPr>
    </w:p>
    <w:p w14:paraId="4C7199D5" w14:textId="77777777" w:rsidR="00921573" w:rsidRPr="008C0FB5" w:rsidRDefault="00921573" w:rsidP="0094067A">
      <w:pPr>
        <w:pStyle w:val="48"/>
        <w:rPr>
          <w:rFonts w:hint="cs"/>
          <w:rtl/>
        </w:rPr>
      </w:pPr>
    </w:p>
    <w:p w14:paraId="3D276023" w14:textId="77777777" w:rsidR="00921573" w:rsidRPr="008C0FB5" w:rsidRDefault="00921573" w:rsidP="0094067A">
      <w:pPr>
        <w:pStyle w:val="48"/>
        <w:rPr>
          <w:rFonts w:hint="cs"/>
          <w:rtl/>
        </w:rPr>
      </w:pPr>
    </w:p>
    <w:p w14:paraId="2A9FFDCD" w14:textId="77777777" w:rsidR="00921573" w:rsidRPr="008C0FB5" w:rsidRDefault="00921573" w:rsidP="0094067A">
      <w:pPr>
        <w:pStyle w:val="48"/>
        <w:rPr>
          <w:rFonts w:hint="cs"/>
          <w:rtl/>
        </w:rPr>
      </w:pPr>
    </w:p>
    <w:p w14:paraId="56D86834" w14:textId="77777777" w:rsidR="0094067A" w:rsidRPr="008C0FB5" w:rsidRDefault="0094067A" w:rsidP="00C253D0">
      <w:pPr>
        <w:pStyle w:val="48"/>
        <w:rPr>
          <w:rtl/>
        </w:rPr>
      </w:pPr>
    </w:p>
    <w:p w14:paraId="47227EB6" w14:textId="77777777" w:rsidR="0094067A" w:rsidRPr="008C0FB5" w:rsidRDefault="0094067A" w:rsidP="00C35031">
      <w:pPr>
        <w:pStyle w:val="48"/>
        <w:rPr>
          <w:rFonts w:hint="cs"/>
          <w:rtl/>
        </w:rPr>
      </w:pPr>
      <w:r w:rsidRPr="008C0FB5">
        <w:rPr>
          <w:rFonts w:hint="cs"/>
          <w:rtl/>
        </w:rPr>
        <w:t>لئن كانت النظرية التقليدية تتطلب السبب القصدي لسلامة العقد من الناحية الفنية، نشوءاً وتنفيذاً، فان الفقهاء الكنسيين قديماً، وبعض القوانين والاجتهاد القضائي حديثاً، قد تطلب توافر السبب المصلحي، وهو مشروعية الباعث الدافع إلى التعاقد لسلامة العقد من الناحية الأدبية والاجتماعية، ان هذين السببين ضروريان ومتكاملان وليس من سبيل للاستغناء بأحدهما عن الآخر.</w:t>
      </w:r>
    </w:p>
    <w:p w14:paraId="1163F492" w14:textId="77777777" w:rsidR="0094067A" w:rsidRPr="008C0FB5" w:rsidRDefault="0094067A" w:rsidP="00C35031">
      <w:pPr>
        <w:pStyle w:val="35"/>
        <w:rPr>
          <w:rFonts w:hint="cs"/>
          <w:rtl/>
        </w:rPr>
      </w:pPr>
      <w:r w:rsidRPr="008C0FB5">
        <w:rPr>
          <w:rFonts w:hint="cs"/>
          <w:rtl/>
        </w:rPr>
        <w:t>ذلك لأن العقد على جانب كونه أداة فنية، يقصد بها الوصول إلى أغراض عملية معينة، فخو كائن اجتماعي يلد ويحيى في المجتمع، فلا مناص إذن من مراعاته أهداف المجتمع ومصالحه، فإذا ما كان الباعث البعيد الذي حدا بالمتعاقد إلى القيام به غير مشروع وقف المشرع في وجهه، ليدرأ الخطر الذي يحمله إلى المجتمع.</w:t>
      </w:r>
    </w:p>
    <w:p w14:paraId="42AA4075" w14:textId="77777777" w:rsidR="0094067A" w:rsidRPr="008C0FB5" w:rsidRDefault="0094067A" w:rsidP="00C35031">
      <w:pPr>
        <w:pStyle w:val="35"/>
        <w:rPr>
          <w:rFonts w:hint="cs"/>
          <w:rtl/>
        </w:rPr>
      </w:pPr>
      <w:r w:rsidRPr="008C0FB5">
        <w:rPr>
          <w:rFonts w:hint="cs"/>
          <w:rtl/>
        </w:rPr>
        <w:t>وليس لأطراف العقد أن يحتجوا بصحة الكيان الفني للعقد، ذلك ان هذا الكيان يجب أن يوزن الباعث عليه بميزان المصلحة الاجتماعية، فإذا كان هذا الباعث يتفق وأهداف المجتمع، أقر القاضي وجود العقد، أما إذا كان يناهض هذه الأهداف، وقف القاضي في وجهه وأبطله جزاءاً وفاقاً.</w:t>
      </w:r>
    </w:p>
    <w:p w14:paraId="1877A3EB" w14:textId="77777777" w:rsidR="0094067A" w:rsidRPr="008C0FB5" w:rsidRDefault="0094067A" w:rsidP="00C35031">
      <w:pPr>
        <w:pStyle w:val="35"/>
        <w:rPr>
          <w:rFonts w:hint="cs"/>
          <w:rtl/>
        </w:rPr>
      </w:pPr>
      <w:r w:rsidRPr="008C0FB5">
        <w:rPr>
          <w:rFonts w:hint="cs"/>
          <w:rtl/>
        </w:rPr>
        <w:t>ولذلك فقد قسمنا هذا الفصل إلى مباحث ثلاث نتناول في أولها موقف النظم القانونية الغربية أما ثانيها فقد خصصناه لبحث موقف النظم القانونية العربية أما ثالثها فقد عقدناه لبحث موقف النظام القانوني الانكليزي من نظرية الباعث.</w:t>
      </w:r>
    </w:p>
    <w:p w14:paraId="40D838ED" w14:textId="77777777" w:rsidR="008C0FB5" w:rsidRPr="008C0FB5" w:rsidRDefault="008C0FB5" w:rsidP="008C0FB5">
      <w:pPr>
        <w:pStyle w:val="af"/>
        <w:numPr>
          <w:ilvl w:val="0"/>
          <w:numId w:val="5"/>
        </w:numPr>
        <w:spacing w:before="240" w:after="120" w:line="240" w:lineRule="auto"/>
        <w:contextualSpacing w:val="0"/>
        <w:rPr>
          <w:rFonts w:ascii="Times New Roman" w:eastAsia="Times New Roman" w:hAnsi="Times New Roman" w:cs="Sultan bold" w:hint="cs"/>
          <w:b/>
          <w:vanish/>
          <w:szCs w:val="36"/>
          <w:rtl/>
          <w:lang w:bidi="ar-IQ"/>
        </w:rPr>
      </w:pPr>
    </w:p>
    <w:p w14:paraId="420CABAC" w14:textId="77777777" w:rsidR="0094067A" w:rsidRPr="008C0FB5" w:rsidRDefault="0094067A" w:rsidP="008C0FB5">
      <w:pPr>
        <w:pStyle w:val="a0"/>
        <w:rPr>
          <w:rFonts w:hint="cs"/>
          <w:rtl/>
        </w:rPr>
      </w:pPr>
      <w:bookmarkStart w:id="83" w:name="_Toc8643675"/>
      <w:r w:rsidRPr="008C0FB5">
        <w:rPr>
          <w:rFonts w:hint="cs"/>
          <w:rtl/>
        </w:rPr>
        <w:t>المبحث الأول: موقف بعض النظم القانونية الغربية من نظرية الباعث</w:t>
      </w:r>
      <w:bookmarkEnd w:id="83"/>
    </w:p>
    <w:p w14:paraId="7B22BB93" w14:textId="77777777" w:rsidR="0094067A" w:rsidRPr="008C0FB5" w:rsidRDefault="0094067A" w:rsidP="00C35031">
      <w:pPr>
        <w:pStyle w:val="48"/>
        <w:rPr>
          <w:rFonts w:hint="cs"/>
          <w:rtl/>
        </w:rPr>
      </w:pPr>
      <w:r w:rsidRPr="008C0FB5">
        <w:rPr>
          <w:rFonts w:hint="cs"/>
          <w:rtl/>
        </w:rPr>
        <w:t xml:space="preserve">لقد تميزت النظم القانونية الغربية بموقفين متعارضين هما موقف النظم اللاتينية التي كسر فيها القضاء الجواجز الموجودة بين النظريتين </w:t>
      </w:r>
      <w:r w:rsidRPr="008C0FB5">
        <w:rPr>
          <w:rFonts w:ascii="Times New Roman" w:hAnsi="Times New Roman" w:cs="Times New Roman" w:hint="cs"/>
          <w:rtl/>
        </w:rPr>
        <w:t>–</w:t>
      </w:r>
      <w:r w:rsidRPr="008C0FB5">
        <w:rPr>
          <w:rFonts w:hint="cs"/>
          <w:rtl/>
        </w:rPr>
        <w:t xml:space="preserve"> الموضوعية والذاتية </w:t>
      </w:r>
      <w:r w:rsidRPr="008C0FB5">
        <w:rPr>
          <w:rFonts w:ascii="Times New Roman" w:hAnsi="Times New Roman" w:cs="Times New Roman" w:hint="cs"/>
          <w:rtl/>
        </w:rPr>
        <w:t>–</w:t>
      </w:r>
      <w:r w:rsidRPr="008C0FB5">
        <w:rPr>
          <w:rFonts w:hint="cs"/>
          <w:rtl/>
        </w:rPr>
        <w:t xml:space="preserve"> وذلك عن طريق إكمال النظرية الأولى بالنظرية الثانية، وخلافاً للنظم اللاتينية المذكورة، فقد تميز القانون المدني الألماني </w:t>
      </w:r>
      <w:r w:rsidRPr="008C0FB5">
        <w:rPr>
          <w:rFonts w:ascii="Times New Roman" w:hAnsi="Times New Roman" w:cs="Times New Roman" w:hint="cs"/>
          <w:rtl/>
        </w:rPr>
        <w:t>–</w:t>
      </w:r>
      <w:r w:rsidRPr="008C0FB5">
        <w:rPr>
          <w:rFonts w:hint="cs"/>
          <w:rtl/>
        </w:rPr>
        <w:t xml:space="preserve"> وهو طليعة النظم القانونية الجرمانية </w:t>
      </w:r>
      <w:r w:rsidRPr="008C0FB5">
        <w:rPr>
          <w:rFonts w:ascii="Times New Roman" w:hAnsi="Times New Roman" w:cs="Times New Roman" w:hint="cs"/>
          <w:rtl/>
        </w:rPr>
        <w:t>–</w:t>
      </w:r>
      <w:r w:rsidRPr="008C0FB5">
        <w:rPr>
          <w:rFonts w:hint="cs"/>
          <w:rtl/>
        </w:rPr>
        <w:t xml:space="preserve"> باتجاه مضاد آخر ينزع إلى نكران فكرة السببية في مضمار التعاقد وبجناحيها الحديث والمتقادم.  </w:t>
      </w:r>
    </w:p>
    <w:p w14:paraId="7E82EB49" w14:textId="77777777" w:rsidR="0094067A" w:rsidRPr="008C0FB5" w:rsidRDefault="0094067A" w:rsidP="00C35031">
      <w:pPr>
        <w:pStyle w:val="35"/>
        <w:rPr>
          <w:rFonts w:hint="cs"/>
          <w:rtl/>
        </w:rPr>
      </w:pPr>
      <w:r w:rsidRPr="008C0FB5">
        <w:rPr>
          <w:rFonts w:hint="cs"/>
          <w:rtl/>
        </w:rPr>
        <w:t>ولذلك فقد آثرنا على بحث كل موقف من هذه المواقف المتضادة في مطلب مستقل.</w:t>
      </w:r>
    </w:p>
    <w:p w14:paraId="7F895D81" w14:textId="77777777" w:rsidR="0094067A" w:rsidRPr="008C0FB5" w:rsidRDefault="0094067A" w:rsidP="00C253D0">
      <w:pPr>
        <w:pStyle w:val="a1"/>
        <w:rPr>
          <w:rFonts w:hint="cs"/>
          <w:rtl/>
        </w:rPr>
      </w:pPr>
      <w:bookmarkStart w:id="84" w:name="_Toc8643676"/>
      <w:r w:rsidRPr="008C0FB5">
        <w:rPr>
          <w:rFonts w:hint="cs"/>
          <w:rtl/>
        </w:rPr>
        <w:t>المطلب الأول: موقف النظام القانوني الفرنسي من نظرية الباعث</w:t>
      </w:r>
      <w:bookmarkEnd w:id="84"/>
    </w:p>
    <w:p w14:paraId="53D52628" w14:textId="77777777" w:rsidR="0094067A" w:rsidRPr="008C0FB5" w:rsidRDefault="0094067A" w:rsidP="00C35031">
      <w:pPr>
        <w:pStyle w:val="48"/>
        <w:rPr>
          <w:rFonts w:hint="cs"/>
          <w:rtl/>
        </w:rPr>
      </w:pPr>
      <w:r w:rsidRPr="008C0FB5">
        <w:rPr>
          <w:rFonts w:hint="cs"/>
          <w:rtl/>
        </w:rPr>
        <w:t>ونقسم هذا المطلب إلى فرعين نتناول في أولهما موقف القانون المدني الفرنسي أما ثانيهما فقد خصصناه لبحث موقف القضاء الفرنسي لنختتم المطلب بخاتمة لتقويم النظرية.</w:t>
      </w:r>
    </w:p>
    <w:p w14:paraId="3325B5F5" w14:textId="77777777" w:rsidR="0094067A" w:rsidRPr="008C0FB5" w:rsidRDefault="0094067A" w:rsidP="00D04880">
      <w:pPr>
        <w:pStyle w:val="af8"/>
        <w:rPr>
          <w:rFonts w:hint="cs"/>
          <w:rtl/>
          <w:lang w:bidi="ar-IQ"/>
        </w:rPr>
      </w:pPr>
      <w:bookmarkStart w:id="85" w:name="_Toc8643677"/>
      <w:r w:rsidRPr="008C0FB5">
        <w:rPr>
          <w:rFonts w:hint="cs"/>
          <w:rtl/>
          <w:lang w:bidi="ar-IQ"/>
        </w:rPr>
        <w:lastRenderedPageBreak/>
        <w:t>الفرع الأول: موقف القانون المدني الفرنسي</w:t>
      </w:r>
      <w:bookmarkEnd w:id="85"/>
    </w:p>
    <w:p w14:paraId="48C24149" w14:textId="77777777" w:rsidR="0094067A" w:rsidRPr="008C0FB5" w:rsidRDefault="0094067A" w:rsidP="00C35031">
      <w:pPr>
        <w:pStyle w:val="48"/>
        <w:rPr>
          <w:rFonts w:hint="cs"/>
          <w:rtl/>
        </w:rPr>
      </w:pPr>
      <w:r w:rsidRPr="008C0FB5">
        <w:rPr>
          <w:rFonts w:hint="cs"/>
          <w:rtl/>
        </w:rPr>
        <w:t xml:space="preserve">ذهب القانون المدني الفرنسي إلى النص على وجود السبب في الالتزام العقدي وعلى مشروعيته في المواد 1108 و1131 و1132 و1133. </w:t>
      </w:r>
    </w:p>
    <w:p w14:paraId="5F4F59B8" w14:textId="77777777" w:rsidR="0094067A" w:rsidRPr="008C0FB5" w:rsidRDefault="0094067A" w:rsidP="00C35031">
      <w:pPr>
        <w:pStyle w:val="35"/>
        <w:rPr>
          <w:rFonts w:hint="cs"/>
          <w:rtl/>
        </w:rPr>
      </w:pPr>
      <w:r w:rsidRPr="008C0FB5">
        <w:rPr>
          <w:rFonts w:hint="cs"/>
          <w:rtl/>
        </w:rPr>
        <w:t>فقد نصت المادة 1108 على انه يجب أن يكون للالتزامات الناشئة عن العقد سبب مشروع وأوجبت المادة 1131 والمادة 1132 على انه يكون للالتزام سبب وأن يكون السبب صحيحاً، وان الاتفاق يكون صحيحاً ولو لم يذكر سببه.</w:t>
      </w:r>
    </w:p>
    <w:p w14:paraId="0231DDA3" w14:textId="77777777" w:rsidR="0094067A" w:rsidRPr="008C0FB5" w:rsidRDefault="0094067A" w:rsidP="00C35031">
      <w:pPr>
        <w:pStyle w:val="35"/>
        <w:rPr>
          <w:rFonts w:hint="cs"/>
          <w:rtl/>
        </w:rPr>
      </w:pPr>
      <w:r w:rsidRPr="008C0FB5">
        <w:rPr>
          <w:rFonts w:hint="cs"/>
          <w:rtl/>
        </w:rPr>
        <w:t>أما المادة 1133 فقد نصت على انه يكون السبب غير مشروع إذا حرمه القانون أو إذا كان مخالفاً للآداب او النظام العام.</w:t>
      </w:r>
    </w:p>
    <w:p w14:paraId="4E105802" w14:textId="77777777" w:rsidR="0094067A" w:rsidRPr="008C0FB5" w:rsidRDefault="0094067A" w:rsidP="00C35031">
      <w:pPr>
        <w:pStyle w:val="35"/>
        <w:rPr>
          <w:rFonts w:hint="cs"/>
          <w:rtl/>
        </w:rPr>
      </w:pPr>
      <w:r w:rsidRPr="008C0FB5">
        <w:rPr>
          <w:rFonts w:hint="cs"/>
          <w:rtl/>
        </w:rPr>
        <w:t xml:space="preserve">ولعل هذا الباحث كان على حق فيما ذهب إليه... من حيث ان النصوص المذكورة قد جاءت منقولة </w:t>
      </w:r>
      <w:r w:rsidRPr="008C0FB5">
        <w:rPr>
          <w:rFonts w:ascii="Times New Roman" w:hAnsi="Times New Roman" w:cs="Times New Roman" w:hint="cs"/>
          <w:rtl/>
        </w:rPr>
        <w:t>–</w:t>
      </w:r>
      <w:r w:rsidRPr="008C0FB5">
        <w:rPr>
          <w:rFonts w:hint="cs"/>
          <w:rtl/>
        </w:rPr>
        <w:t xml:space="preserve"> كما يدعي </w:t>
      </w:r>
      <w:r w:rsidRPr="008C0FB5">
        <w:rPr>
          <w:rFonts w:ascii="Times New Roman" w:hAnsi="Times New Roman" w:cs="Times New Roman" w:hint="cs"/>
          <w:rtl/>
        </w:rPr>
        <w:t>–</w:t>
      </w:r>
      <w:r w:rsidRPr="008C0FB5">
        <w:rPr>
          <w:rFonts w:hint="cs"/>
          <w:rtl/>
        </w:rPr>
        <w:t xml:space="preserve"> عن (دوما وبوتيه)، وهما الفقيهان المعروفان بتبنيهما لفكرة النظرية التقليدية، وخاصة بالنسبة إلى شرائطها الثلاثة المارة ذكرها، ولأن كان شرط المشروعية هو الأساس أو العنصر الوحيد المقوم للنظرية الحديثة أو بالأحرى لفكرة الباعث الدافع فيها، فان ذلك لا يعني أن القانون الفرنسي قد مال إلى المعنى المقصود من هذه النظرية لاسيما وان الفحوى العام للنصوص الفرنسية يميل </w:t>
      </w:r>
      <w:r w:rsidRPr="008C0FB5">
        <w:rPr>
          <w:rFonts w:ascii="Times New Roman" w:hAnsi="Times New Roman" w:cs="Times New Roman" w:hint="cs"/>
          <w:rtl/>
        </w:rPr>
        <w:t>–</w:t>
      </w:r>
      <w:r w:rsidRPr="008C0FB5">
        <w:rPr>
          <w:rFonts w:hint="cs"/>
          <w:rtl/>
        </w:rPr>
        <w:t xml:space="preserve"> فيما يبدو </w:t>
      </w:r>
      <w:r w:rsidRPr="008C0FB5">
        <w:rPr>
          <w:rFonts w:ascii="Times New Roman" w:hAnsi="Times New Roman" w:cs="Times New Roman" w:hint="cs"/>
          <w:rtl/>
        </w:rPr>
        <w:t>–</w:t>
      </w:r>
      <w:r w:rsidRPr="008C0FB5">
        <w:rPr>
          <w:rFonts w:hint="cs"/>
          <w:rtl/>
        </w:rPr>
        <w:t xml:space="preserve"> إلى الاتجاه التقليدي، مضافاً إلى ان المواد المذكورة </w:t>
      </w:r>
      <w:r w:rsidRPr="008C0FB5">
        <w:rPr>
          <w:rFonts w:ascii="Times New Roman" w:hAnsi="Times New Roman" w:cs="Times New Roman" w:hint="cs"/>
          <w:rtl/>
        </w:rPr>
        <w:t>–</w:t>
      </w:r>
      <w:r w:rsidRPr="008C0FB5">
        <w:rPr>
          <w:rFonts w:hint="cs"/>
          <w:rtl/>
        </w:rPr>
        <w:t xml:space="preserve"> تبعاً للقانون الفرنسي نفسه </w:t>
      </w:r>
      <w:r w:rsidRPr="008C0FB5">
        <w:rPr>
          <w:rFonts w:ascii="Times New Roman" w:hAnsi="Times New Roman" w:cs="Times New Roman" w:hint="cs"/>
          <w:rtl/>
        </w:rPr>
        <w:t>–</w:t>
      </w:r>
      <w:r w:rsidRPr="008C0FB5">
        <w:rPr>
          <w:rFonts w:hint="cs"/>
          <w:rtl/>
        </w:rPr>
        <w:t xml:space="preserve"> قد شرعت في وقت كانت النظرية التقليدية فيه هي السائدة والماثلة بين النظريات، والتي كان على رأسها آنذاك الفقيه الفرنسي آنف الذكر بوتيه</w:t>
      </w:r>
      <w:r w:rsidRPr="008C0FB5">
        <w:rPr>
          <w:rFonts w:cs="Saihat" w:hint="cs"/>
          <w:vertAlign w:val="superscript"/>
          <w:rtl/>
        </w:rPr>
        <w:t>(</w:t>
      </w:r>
      <w:r w:rsidRPr="008C0FB5">
        <w:rPr>
          <w:rStyle w:val="af0"/>
          <w:rFonts w:cs="Saihat"/>
          <w:sz w:val="30"/>
          <w:rtl/>
        </w:rPr>
        <w:footnoteReference w:id="243"/>
      </w:r>
      <w:r w:rsidRPr="008C0FB5">
        <w:rPr>
          <w:rFonts w:cs="Saihat" w:hint="cs"/>
          <w:vertAlign w:val="superscript"/>
          <w:rtl/>
        </w:rPr>
        <w:t>)</w:t>
      </w:r>
      <w:r w:rsidRPr="008C0FB5">
        <w:rPr>
          <w:rFonts w:hint="cs"/>
          <w:rtl/>
        </w:rPr>
        <w:t>.</w:t>
      </w:r>
    </w:p>
    <w:p w14:paraId="640D1B7E" w14:textId="77777777" w:rsidR="0094067A" w:rsidRPr="008C0FB5" w:rsidRDefault="0094067A" w:rsidP="00C35031">
      <w:pPr>
        <w:pStyle w:val="35"/>
        <w:rPr>
          <w:rFonts w:hint="cs"/>
          <w:rtl/>
        </w:rPr>
      </w:pPr>
      <w:r w:rsidRPr="008C0FB5">
        <w:rPr>
          <w:rFonts w:hint="cs"/>
          <w:rtl/>
        </w:rPr>
        <w:t xml:space="preserve">ومن هذه النصوص سالفة الذكر يتبين لنا ان القانون المدني الفرنسي قد وقف موقفاً مختلطاً من نظرية السبب فتارة يشترط وجود السبب، ووجود السبب لا يتصور إلا بالمفهوم التقليدي للسبب، وتارة أخرى يشترط مشروعيته، والمشروعية لا تتصور إلا بالمفهوم الحديث للسبب (الباعث) وإن كان البعض الآخر قد ذهب على صرف النصوص المذكورة إلى النظرية التقليدية على وجه الخصوص، بل انه اعتبر أن تلك النصوص كانت الأساس الذي قامت عليه النظرية </w:t>
      </w:r>
      <w:proofErr w:type="gramStart"/>
      <w:r w:rsidRPr="008C0FB5">
        <w:rPr>
          <w:rFonts w:hint="cs"/>
          <w:rtl/>
        </w:rPr>
        <w:t>التقليدية</w:t>
      </w:r>
      <w:r w:rsidRPr="008C0FB5">
        <w:rPr>
          <w:rFonts w:cs="Saihat" w:hint="cs"/>
          <w:vertAlign w:val="superscript"/>
          <w:rtl/>
        </w:rPr>
        <w:t>(</w:t>
      </w:r>
      <w:proofErr w:type="gramEnd"/>
      <w:r w:rsidRPr="008C0FB5">
        <w:rPr>
          <w:rStyle w:val="af0"/>
          <w:rFonts w:cs="Saihat"/>
          <w:sz w:val="30"/>
          <w:rtl/>
        </w:rPr>
        <w:footnoteReference w:id="244"/>
      </w:r>
      <w:r w:rsidRPr="008C0FB5">
        <w:rPr>
          <w:rFonts w:cs="Saihat" w:hint="cs"/>
          <w:vertAlign w:val="superscript"/>
          <w:rtl/>
        </w:rPr>
        <w:t>)</w:t>
      </w:r>
      <w:r w:rsidRPr="008C0FB5">
        <w:rPr>
          <w:rFonts w:hint="cs"/>
          <w:rtl/>
        </w:rPr>
        <w:t>.</w:t>
      </w:r>
    </w:p>
    <w:p w14:paraId="65E4AEA7" w14:textId="77777777" w:rsidR="0094067A" w:rsidRPr="008C0FB5" w:rsidRDefault="0094067A" w:rsidP="00C35031">
      <w:pPr>
        <w:pStyle w:val="35"/>
        <w:rPr>
          <w:rFonts w:hint="cs"/>
          <w:rtl/>
        </w:rPr>
      </w:pPr>
      <w:r w:rsidRPr="008C0FB5">
        <w:rPr>
          <w:rFonts w:hint="cs"/>
          <w:rtl/>
        </w:rPr>
        <w:t>ولا يبقى أمامنا سوى تأييد هذا الرأي الأخير لأن هذه الشروط لم تشرع للخلط بين النظريتين، وإنما هي شروطناً للنظرية التقليدية.</w:t>
      </w:r>
    </w:p>
    <w:p w14:paraId="110D1C81" w14:textId="77777777" w:rsidR="0094067A" w:rsidRPr="008C0FB5" w:rsidRDefault="0094067A" w:rsidP="00D04880">
      <w:pPr>
        <w:pStyle w:val="af8"/>
        <w:rPr>
          <w:rFonts w:hint="cs"/>
          <w:rtl/>
        </w:rPr>
      </w:pPr>
      <w:bookmarkStart w:id="86" w:name="_Toc8643678"/>
      <w:r w:rsidRPr="008C0FB5">
        <w:rPr>
          <w:rFonts w:hint="cs"/>
          <w:rtl/>
        </w:rPr>
        <w:t xml:space="preserve">الفرع الثاني: </w:t>
      </w:r>
      <w:r w:rsidRPr="008C0FB5">
        <w:rPr>
          <w:rFonts w:hint="cs"/>
          <w:rtl/>
          <w:lang w:bidi="ar-IQ"/>
        </w:rPr>
        <w:t>موقـف القضاء الفرنسي</w:t>
      </w:r>
      <w:bookmarkEnd w:id="86"/>
    </w:p>
    <w:p w14:paraId="3F0B408D" w14:textId="77777777" w:rsidR="0094067A" w:rsidRPr="008C0FB5" w:rsidRDefault="0094067A" w:rsidP="00C35031">
      <w:pPr>
        <w:pStyle w:val="48"/>
        <w:rPr>
          <w:rFonts w:hint="cs"/>
          <w:rtl/>
        </w:rPr>
      </w:pPr>
      <w:r w:rsidRPr="008C0FB5">
        <w:rPr>
          <w:rFonts w:hint="cs"/>
          <w:rtl/>
        </w:rPr>
        <w:t xml:space="preserve">لقد تناولنا فيما سبق موقف القانون المدني الفرنسي وتبين لنا انه تبنى النظرية التقليدية للسبب، أما بالنسبة لموقف القضاء الفرنسي فانه لم يقف مكتوف الأيدي أمام قصور النظرية التقليدية، ذلك ان هذه النظرية مشبعة بالفكرة الرومانية </w:t>
      </w:r>
      <w:proofErr w:type="gramStart"/>
      <w:r w:rsidRPr="008C0FB5">
        <w:rPr>
          <w:rFonts w:hint="cs"/>
          <w:rtl/>
        </w:rPr>
        <w:t>الضيقة</w:t>
      </w:r>
      <w:r w:rsidRPr="008C0FB5">
        <w:rPr>
          <w:rFonts w:cs="Saihat" w:hint="cs"/>
          <w:vertAlign w:val="superscript"/>
          <w:rtl/>
        </w:rPr>
        <w:t>(</w:t>
      </w:r>
      <w:proofErr w:type="gramEnd"/>
      <w:r w:rsidRPr="008C0FB5">
        <w:rPr>
          <w:rStyle w:val="af0"/>
          <w:rFonts w:cs="Saihat"/>
          <w:sz w:val="30"/>
          <w:rtl/>
        </w:rPr>
        <w:footnoteReference w:id="245"/>
      </w:r>
      <w:r w:rsidRPr="008C0FB5">
        <w:rPr>
          <w:rFonts w:cs="Saihat" w:hint="cs"/>
          <w:vertAlign w:val="superscript"/>
          <w:rtl/>
        </w:rPr>
        <w:t>)</w:t>
      </w:r>
      <w:r w:rsidRPr="008C0FB5">
        <w:rPr>
          <w:rFonts w:hint="cs"/>
          <w:rtl/>
        </w:rPr>
        <w:t>، وهي نظرية لا فائدة منها رغم دفاع كابيتان عنها وإن كانت مفيدة في حدود ما ذهبت إليه من الاعتداد بسبب الالتزام، ولكن قصورها وإهمالها لسبب العقد جعلها عاجزة أمام حالات يجدر بها أن يكون العقد باطلاً لبطلان باعثه</w:t>
      </w:r>
      <w:r w:rsidRPr="008C0FB5">
        <w:rPr>
          <w:rFonts w:cs="Saihat" w:hint="cs"/>
          <w:vertAlign w:val="superscript"/>
          <w:rtl/>
        </w:rPr>
        <w:t>(</w:t>
      </w:r>
      <w:r w:rsidRPr="008C0FB5">
        <w:rPr>
          <w:rStyle w:val="af0"/>
          <w:rFonts w:cs="Saihat"/>
          <w:sz w:val="30"/>
          <w:rtl/>
        </w:rPr>
        <w:footnoteReference w:id="246"/>
      </w:r>
      <w:r w:rsidRPr="008C0FB5">
        <w:rPr>
          <w:rFonts w:cs="Saihat" w:hint="cs"/>
          <w:vertAlign w:val="superscript"/>
          <w:rtl/>
        </w:rPr>
        <w:t>)</w:t>
      </w:r>
      <w:r w:rsidRPr="008C0FB5">
        <w:rPr>
          <w:rFonts w:hint="cs"/>
          <w:rtl/>
        </w:rPr>
        <w:t xml:space="preserve">. </w:t>
      </w:r>
    </w:p>
    <w:p w14:paraId="2DB84A33" w14:textId="77777777" w:rsidR="0094067A" w:rsidRPr="008C0FB5" w:rsidRDefault="0094067A" w:rsidP="00921573">
      <w:pPr>
        <w:pStyle w:val="35"/>
        <w:spacing w:line="240" w:lineRule="auto"/>
        <w:rPr>
          <w:rFonts w:hint="cs"/>
          <w:rtl/>
        </w:rPr>
      </w:pPr>
      <w:r w:rsidRPr="008C0FB5">
        <w:rPr>
          <w:rFonts w:hint="cs"/>
          <w:rtl/>
        </w:rPr>
        <w:lastRenderedPageBreak/>
        <w:t>فكان من الطبيعي أن تتحطم تحت مطرقة القضاء، الذي يتعامل ميدانياً مع مشاكل الحياة وتعقيداتها ولا يجد في تلك النظرية من المرونة والخصوبة ما يكفيه لتقويم تصرفات الأشخاص وإخضاعها للمشروعية.</w:t>
      </w:r>
    </w:p>
    <w:p w14:paraId="12034C5D" w14:textId="77777777" w:rsidR="0094067A" w:rsidRPr="008C0FB5" w:rsidRDefault="0094067A" w:rsidP="00921573">
      <w:pPr>
        <w:pStyle w:val="35"/>
        <w:spacing w:line="240" w:lineRule="auto"/>
        <w:rPr>
          <w:rFonts w:hint="cs"/>
          <w:rtl/>
        </w:rPr>
      </w:pPr>
      <w:r w:rsidRPr="008C0FB5">
        <w:rPr>
          <w:rFonts w:hint="cs"/>
          <w:rtl/>
        </w:rPr>
        <w:t xml:space="preserve">إذ توسع القضاء الفرنسي في تحديد السبب واعتبره الباعث الدافع للتعاقد راجعاً في ذلك إلى ما كان عليه عند الكنسيين فأكسب نظرية السبب مرونة لم تكن </w:t>
      </w:r>
      <w:proofErr w:type="gramStart"/>
      <w:r w:rsidRPr="008C0FB5">
        <w:rPr>
          <w:rFonts w:hint="cs"/>
          <w:rtl/>
        </w:rPr>
        <w:t>عليها،  وأًبحت</w:t>
      </w:r>
      <w:proofErr w:type="gramEnd"/>
      <w:r w:rsidRPr="008C0FB5">
        <w:rPr>
          <w:rFonts w:hint="cs"/>
          <w:rtl/>
        </w:rPr>
        <w:t xml:space="preserve"> في يده منتجة لا غنى عنها، وتمكن من مواجهة العقود التي تكون مشروعة في ذاتها، لكنها غير مشروعة بالنظر إلى مآلها وغايتها بحسب الدافع.</w:t>
      </w:r>
    </w:p>
    <w:p w14:paraId="23954A5A" w14:textId="77777777" w:rsidR="0094067A" w:rsidRPr="008C0FB5" w:rsidRDefault="0094067A" w:rsidP="00921573">
      <w:pPr>
        <w:pStyle w:val="35"/>
        <w:spacing w:line="240" w:lineRule="auto"/>
        <w:rPr>
          <w:rFonts w:hint="cs"/>
          <w:rtl/>
        </w:rPr>
      </w:pPr>
      <w:r w:rsidRPr="008C0FB5">
        <w:rPr>
          <w:rFonts w:hint="cs"/>
          <w:rtl/>
        </w:rPr>
        <w:t>وهكذا أصبح السبب في نظر القضاء هو الباعث الدافع للملتزم لأن يلتزم، ولابد أن يشترط القانون كون هذا الباعث مشروعاً، يرمي إلى تحقيق غرض لا يحرمه القانون ولا يتعارض مع النظام العام ولا يتنافى مع الآداب.</w:t>
      </w:r>
    </w:p>
    <w:p w14:paraId="31522BDF" w14:textId="77777777" w:rsidR="0094067A" w:rsidRPr="008C0FB5" w:rsidRDefault="0094067A" w:rsidP="00921573">
      <w:pPr>
        <w:pStyle w:val="35"/>
        <w:spacing w:line="240" w:lineRule="auto"/>
        <w:rPr>
          <w:rFonts w:hint="cs"/>
          <w:rtl/>
        </w:rPr>
      </w:pPr>
      <w:r w:rsidRPr="008C0FB5">
        <w:rPr>
          <w:rFonts w:hint="cs"/>
          <w:rtl/>
        </w:rPr>
        <w:t>وكان الدافع وراء القضاء الفرنسي لخلق هذه النظرية هو الحماية الاجتماعية ذلك لإبطال الاتفاقات والعقود التي يكون الباعث عليها غير مشروع.</w:t>
      </w:r>
    </w:p>
    <w:p w14:paraId="3869E74C" w14:textId="77777777" w:rsidR="0094067A" w:rsidRPr="008C0FB5" w:rsidRDefault="0094067A" w:rsidP="00921573">
      <w:pPr>
        <w:pStyle w:val="35"/>
        <w:spacing w:line="240" w:lineRule="auto"/>
        <w:rPr>
          <w:rFonts w:hint="cs"/>
          <w:rtl/>
        </w:rPr>
      </w:pPr>
      <w:r w:rsidRPr="008C0FB5">
        <w:rPr>
          <w:rFonts w:hint="cs"/>
          <w:rtl/>
        </w:rPr>
        <w:t xml:space="preserve">ومن تطبيقات القضاء الفرنسي بالنسبة للعقود الملزمة للجانبين هو إبطال عقود البيع والإيجار إذا وقعت أي منها على منزل يريد المشتري أو المستأجر إدارته للدعارة، وكان البائع أو المؤجر عالماً بقصد المشتري أو </w:t>
      </w:r>
      <w:proofErr w:type="gramStart"/>
      <w:r w:rsidRPr="008C0FB5">
        <w:rPr>
          <w:rFonts w:hint="cs"/>
          <w:rtl/>
        </w:rPr>
        <w:t>المستأجر</w:t>
      </w:r>
      <w:r w:rsidRPr="008C0FB5">
        <w:rPr>
          <w:rFonts w:cs="Saihat" w:hint="cs"/>
          <w:vertAlign w:val="superscript"/>
          <w:rtl/>
        </w:rPr>
        <w:t>(</w:t>
      </w:r>
      <w:proofErr w:type="gramEnd"/>
      <w:r w:rsidRPr="008C0FB5">
        <w:rPr>
          <w:rStyle w:val="af0"/>
          <w:rFonts w:cs="Saihat"/>
          <w:sz w:val="30"/>
          <w:rtl/>
        </w:rPr>
        <w:footnoteReference w:id="247"/>
      </w:r>
      <w:r w:rsidRPr="008C0FB5">
        <w:rPr>
          <w:rFonts w:cs="Saihat" w:hint="cs"/>
          <w:vertAlign w:val="superscript"/>
          <w:rtl/>
        </w:rPr>
        <w:t>)</w:t>
      </w:r>
      <w:r w:rsidRPr="008C0FB5">
        <w:rPr>
          <w:rFonts w:hint="cs"/>
          <w:rtl/>
        </w:rPr>
        <w:t>.</w:t>
      </w:r>
    </w:p>
    <w:p w14:paraId="51DB2DEB" w14:textId="77777777" w:rsidR="0094067A" w:rsidRPr="008C0FB5" w:rsidRDefault="0094067A" w:rsidP="00C35031">
      <w:pPr>
        <w:pStyle w:val="35"/>
        <w:rPr>
          <w:rFonts w:hint="cs"/>
          <w:rtl/>
        </w:rPr>
      </w:pPr>
      <w:r w:rsidRPr="008C0FB5">
        <w:rPr>
          <w:rFonts w:hint="cs"/>
          <w:rtl/>
        </w:rPr>
        <w:t xml:space="preserve">وكذلك يفعل بالنسبة للأماكن التي تدار للمقامرة، فبيع أو إيجار مبنى يراد به أن يكون مكاناً للمقامرة </w:t>
      </w:r>
      <w:proofErr w:type="gramStart"/>
      <w:r w:rsidRPr="008C0FB5">
        <w:rPr>
          <w:rFonts w:hint="cs"/>
          <w:rtl/>
        </w:rPr>
        <w:t>باطل</w:t>
      </w:r>
      <w:r w:rsidRPr="008C0FB5">
        <w:rPr>
          <w:rFonts w:cs="Saihat" w:hint="cs"/>
          <w:vertAlign w:val="superscript"/>
          <w:rtl/>
        </w:rPr>
        <w:t>(</w:t>
      </w:r>
      <w:proofErr w:type="gramEnd"/>
      <w:r w:rsidRPr="008C0FB5">
        <w:rPr>
          <w:rStyle w:val="af0"/>
          <w:rFonts w:cs="Saihat"/>
          <w:sz w:val="30"/>
          <w:rtl/>
        </w:rPr>
        <w:footnoteReference w:id="248"/>
      </w:r>
      <w:r w:rsidRPr="008C0FB5">
        <w:rPr>
          <w:rFonts w:cs="Saihat" w:hint="cs"/>
          <w:vertAlign w:val="superscript"/>
          <w:rtl/>
        </w:rPr>
        <w:t>)</w:t>
      </w:r>
      <w:r w:rsidRPr="008C0FB5">
        <w:rPr>
          <w:rFonts w:hint="cs"/>
          <w:rtl/>
        </w:rPr>
        <w:t>.</w:t>
      </w:r>
    </w:p>
    <w:p w14:paraId="607D6C02" w14:textId="77777777" w:rsidR="0094067A" w:rsidRPr="008C0FB5" w:rsidRDefault="0094067A" w:rsidP="00C35031">
      <w:pPr>
        <w:pStyle w:val="35"/>
        <w:rPr>
          <w:rFonts w:hint="cs"/>
          <w:rtl/>
        </w:rPr>
      </w:pPr>
      <w:r w:rsidRPr="008C0FB5">
        <w:rPr>
          <w:rFonts w:hint="cs"/>
          <w:rtl/>
        </w:rPr>
        <w:t xml:space="preserve">أما بالنسبة للعقود العينية فقد أبطل القضاء الفرنسي عقد القرض الذي يكون قصد المقترض منه أن يتمكن من المقامرة ويكون المقرض عالماً بقصد المقترض، سواء كان مشتركاً معه في المقامرة أو لم يكن، أو كان مستفيداً من المقامرة، أو </w:t>
      </w:r>
      <w:proofErr w:type="gramStart"/>
      <w:r w:rsidRPr="008C0FB5">
        <w:rPr>
          <w:rFonts w:hint="cs"/>
          <w:rtl/>
        </w:rPr>
        <w:t>لا</w:t>
      </w:r>
      <w:r w:rsidRPr="008C0FB5">
        <w:rPr>
          <w:rFonts w:cs="Saihat" w:hint="cs"/>
          <w:vertAlign w:val="superscript"/>
          <w:rtl/>
        </w:rPr>
        <w:t>(</w:t>
      </w:r>
      <w:proofErr w:type="gramEnd"/>
      <w:r w:rsidRPr="008C0FB5">
        <w:rPr>
          <w:rStyle w:val="af0"/>
          <w:rFonts w:cs="Saihat"/>
          <w:sz w:val="30"/>
          <w:rtl/>
        </w:rPr>
        <w:footnoteReference w:id="249"/>
      </w:r>
      <w:r w:rsidRPr="008C0FB5">
        <w:rPr>
          <w:rFonts w:cs="Saihat" w:hint="cs"/>
          <w:vertAlign w:val="superscript"/>
          <w:rtl/>
        </w:rPr>
        <w:t>)</w:t>
      </w:r>
      <w:r w:rsidRPr="008C0FB5">
        <w:rPr>
          <w:rFonts w:hint="cs"/>
          <w:rtl/>
        </w:rPr>
        <w:t xml:space="preserve">، مستنداً بذلك إلى نص المادة 1965 من القانون المدني الفرنسي التي تنص على ما يأتي: </w:t>
      </w:r>
    </w:p>
    <w:p w14:paraId="46A5682F" w14:textId="77777777" w:rsidR="0094067A" w:rsidRPr="008C0FB5" w:rsidRDefault="0094067A" w:rsidP="00A613BA">
      <w:pPr>
        <w:pStyle w:val="afffffff1"/>
      </w:pPr>
      <w:r w:rsidRPr="008C0FB5">
        <w:rPr>
          <w:rFonts w:hint="cs"/>
          <w:rtl/>
        </w:rPr>
        <w:t>ان القانون لا يقر أي اتفاق قرض للعب أو لأجل دفع رهان</w:t>
      </w:r>
    </w:p>
    <w:p w14:paraId="529ABCA6" w14:textId="77777777" w:rsidR="0094067A" w:rsidRPr="008C0FB5" w:rsidRDefault="0094067A" w:rsidP="00921573">
      <w:pPr>
        <w:pStyle w:val="35"/>
        <w:spacing w:line="240" w:lineRule="auto"/>
        <w:rPr>
          <w:rFonts w:hint="cs"/>
          <w:rtl/>
        </w:rPr>
      </w:pPr>
      <w:r w:rsidRPr="008C0FB5">
        <w:rPr>
          <w:rFonts w:hint="cs"/>
          <w:rtl/>
        </w:rPr>
        <w:t>ومع ذلك فكل ما ينطبق على القرض ينطبق على الرهان.</w:t>
      </w:r>
    </w:p>
    <w:p w14:paraId="15440386" w14:textId="77777777" w:rsidR="0094067A" w:rsidRPr="008C0FB5" w:rsidRDefault="0094067A" w:rsidP="00921573">
      <w:pPr>
        <w:pStyle w:val="35"/>
        <w:spacing w:line="240" w:lineRule="auto"/>
        <w:rPr>
          <w:rFonts w:hint="cs"/>
          <w:rtl/>
        </w:rPr>
      </w:pPr>
      <w:r w:rsidRPr="008C0FB5">
        <w:rPr>
          <w:rFonts w:hint="cs"/>
          <w:rtl/>
        </w:rPr>
        <w:t>أما بالنسبة لعقود التبرع فقد توسع القضاء الفرنسي في تطبيق فكرة الباعث فيها فلم يقف عند نية التبرع، وإنما تجاوزها إلى العوامل النفسية التي دفعت المتبرع إلى التخلي عن ماله دون مقابل، أكان يريد الخير في ذاته أم انه كان يريد مصلحة خاصة مشروعة، أم انه يسعى إلى الوصول إلى غاية غير مشروعة، فإذا تبين ان الباعث غير مشروع أبطل التبرع.</w:t>
      </w:r>
    </w:p>
    <w:p w14:paraId="6D47EFA3" w14:textId="77777777" w:rsidR="0094067A" w:rsidRPr="008C0FB5" w:rsidRDefault="0094067A" w:rsidP="00921573">
      <w:pPr>
        <w:pStyle w:val="35"/>
        <w:spacing w:line="240" w:lineRule="auto"/>
        <w:rPr>
          <w:rFonts w:hint="cs"/>
          <w:rtl/>
        </w:rPr>
      </w:pPr>
      <w:r w:rsidRPr="008C0FB5">
        <w:rPr>
          <w:rFonts w:hint="cs"/>
          <w:rtl/>
        </w:rPr>
        <w:t xml:space="preserve">فقد قضت المحاكم الفرنسية ببطلان الهبة التي يعقدها شخص لامرأة لكي بتوصل بها إلى معاشرتها معاشرة غير شرعية أو لكي تستمر معه في تلك المعاشرة أو لكي </w:t>
      </w:r>
      <w:proofErr w:type="gramStart"/>
      <w:r w:rsidRPr="008C0FB5">
        <w:rPr>
          <w:rFonts w:hint="cs"/>
          <w:rtl/>
        </w:rPr>
        <w:t>يستعيدها</w:t>
      </w:r>
      <w:r w:rsidRPr="008C0FB5">
        <w:rPr>
          <w:rFonts w:cs="Saihat" w:hint="cs"/>
          <w:vertAlign w:val="superscript"/>
          <w:rtl/>
        </w:rPr>
        <w:t>(</w:t>
      </w:r>
      <w:proofErr w:type="gramEnd"/>
      <w:r w:rsidRPr="008C0FB5">
        <w:rPr>
          <w:rStyle w:val="af0"/>
          <w:rFonts w:cs="Saihat"/>
          <w:sz w:val="30"/>
          <w:rtl/>
        </w:rPr>
        <w:footnoteReference w:id="250"/>
      </w:r>
      <w:r w:rsidRPr="008C0FB5">
        <w:rPr>
          <w:rFonts w:cs="Saihat" w:hint="cs"/>
          <w:vertAlign w:val="superscript"/>
          <w:rtl/>
        </w:rPr>
        <w:t>)</w:t>
      </w:r>
      <w:r w:rsidRPr="008C0FB5">
        <w:rPr>
          <w:rFonts w:hint="cs"/>
          <w:rtl/>
        </w:rPr>
        <w:t>.</w:t>
      </w:r>
    </w:p>
    <w:p w14:paraId="7BC136C0" w14:textId="77777777" w:rsidR="0094067A" w:rsidRPr="008C0FB5" w:rsidRDefault="0094067A" w:rsidP="00921573">
      <w:pPr>
        <w:pStyle w:val="35"/>
        <w:spacing w:line="240" w:lineRule="auto"/>
        <w:rPr>
          <w:rFonts w:hint="cs"/>
          <w:rtl/>
        </w:rPr>
      </w:pPr>
      <w:r w:rsidRPr="008C0FB5">
        <w:rPr>
          <w:rFonts w:hint="cs"/>
          <w:rtl/>
        </w:rPr>
        <w:t xml:space="preserve">أما الهبة التي يعقدها الخليل لخليلته بعد انتهاء المعاشرة الآثمة وبغية تعويضها عما لحقها </w:t>
      </w:r>
      <w:r w:rsidRPr="008C0FB5">
        <w:rPr>
          <w:rFonts w:hint="cs"/>
          <w:rtl/>
        </w:rPr>
        <w:lastRenderedPageBreak/>
        <w:t xml:space="preserve">من أضرار بسببها فهي </w:t>
      </w:r>
      <w:proofErr w:type="gramStart"/>
      <w:r w:rsidRPr="008C0FB5">
        <w:rPr>
          <w:rFonts w:hint="cs"/>
          <w:rtl/>
        </w:rPr>
        <w:t>صحيحة</w:t>
      </w:r>
      <w:r w:rsidRPr="008C0FB5">
        <w:rPr>
          <w:rFonts w:cs="Saihat" w:hint="cs"/>
          <w:vertAlign w:val="superscript"/>
          <w:rtl/>
        </w:rPr>
        <w:t>(</w:t>
      </w:r>
      <w:proofErr w:type="gramEnd"/>
      <w:r w:rsidRPr="008C0FB5">
        <w:rPr>
          <w:rStyle w:val="af0"/>
          <w:rFonts w:cs="Saihat"/>
          <w:sz w:val="30"/>
          <w:rtl/>
        </w:rPr>
        <w:footnoteReference w:id="251"/>
      </w:r>
      <w:r w:rsidRPr="008C0FB5">
        <w:rPr>
          <w:rFonts w:cs="Saihat" w:hint="cs"/>
          <w:vertAlign w:val="superscript"/>
          <w:rtl/>
        </w:rPr>
        <w:t>)</w:t>
      </w:r>
      <w:r w:rsidRPr="008C0FB5">
        <w:rPr>
          <w:rFonts w:hint="cs"/>
          <w:rtl/>
        </w:rPr>
        <w:t>.</w:t>
      </w:r>
    </w:p>
    <w:p w14:paraId="3E5E4B60" w14:textId="77777777" w:rsidR="0094067A" w:rsidRPr="008C0FB5" w:rsidRDefault="0094067A" w:rsidP="00C35031">
      <w:pPr>
        <w:pStyle w:val="48"/>
        <w:rPr>
          <w:rFonts w:hint="cs"/>
          <w:rtl/>
        </w:rPr>
      </w:pPr>
      <w:r w:rsidRPr="008C0FB5">
        <w:rPr>
          <w:rFonts w:hint="cs"/>
          <w:b/>
          <w:bCs/>
          <w:rtl/>
        </w:rPr>
        <w:t>- تقويم الموقف الفرنسي:</w:t>
      </w:r>
    </w:p>
    <w:p w14:paraId="427E83CE" w14:textId="77777777" w:rsidR="0094067A" w:rsidRPr="008C0FB5" w:rsidRDefault="0094067A" w:rsidP="00C35031">
      <w:pPr>
        <w:pStyle w:val="48"/>
        <w:rPr>
          <w:rFonts w:hint="cs"/>
          <w:rtl/>
        </w:rPr>
      </w:pPr>
      <w:r w:rsidRPr="008C0FB5">
        <w:rPr>
          <w:rFonts w:hint="cs"/>
          <w:rtl/>
        </w:rPr>
        <w:t xml:space="preserve">لا شك ان موقف القانون الفرنسي لا علاقة له بالباعث والقصد، وبالتالي فهو لا يخرج عن السبب التقليدي، أي الغرض المباشر من وراء العقد، وهذا لا يختلف بين عقد </w:t>
      </w:r>
      <w:proofErr w:type="gramStart"/>
      <w:r w:rsidRPr="008C0FB5">
        <w:rPr>
          <w:rFonts w:hint="cs"/>
          <w:rtl/>
        </w:rPr>
        <w:t>وآخر</w:t>
      </w:r>
      <w:proofErr w:type="gramEnd"/>
      <w:r w:rsidRPr="008C0FB5">
        <w:rPr>
          <w:rFonts w:hint="cs"/>
          <w:rtl/>
        </w:rPr>
        <w:t xml:space="preserve"> بل هو امر موضوعي منضبط لا يتغير بتغير العقود والأشخاص، وهو في الحقيقة سبب للالتزام لا للعقد، فسبب التزام مشتري </w:t>
      </w:r>
      <w:r w:rsidRPr="008C0FB5">
        <w:rPr>
          <w:rFonts w:ascii="Times New Roman" w:hAnsi="Times New Roman" w:cs="Times New Roman" w:hint="cs"/>
          <w:rtl/>
        </w:rPr>
        <w:t>–</w:t>
      </w:r>
      <w:r w:rsidRPr="008C0FB5">
        <w:rPr>
          <w:rFonts w:hint="cs"/>
          <w:rtl/>
        </w:rPr>
        <w:t xml:space="preserve"> سيارة مثلاً </w:t>
      </w:r>
      <w:r w:rsidRPr="008C0FB5">
        <w:rPr>
          <w:rFonts w:ascii="Times New Roman" w:hAnsi="Times New Roman" w:cs="Times New Roman" w:hint="cs"/>
          <w:rtl/>
        </w:rPr>
        <w:t>–</w:t>
      </w:r>
      <w:r w:rsidRPr="008C0FB5">
        <w:rPr>
          <w:rFonts w:hint="cs"/>
          <w:rtl/>
        </w:rPr>
        <w:t xml:space="preserve"> بدفع ثمنها هو التزام الآخر بنقل ملكيتها إليه، فغرضه انتقال ملكية تلك السيارة إليه كما كان غرض البائع الحصول على ثمنها وهكذا.</w:t>
      </w:r>
    </w:p>
    <w:p w14:paraId="0A935F30" w14:textId="77777777" w:rsidR="0094067A" w:rsidRPr="008C0FB5" w:rsidRDefault="0094067A" w:rsidP="00C35031">
      <w:pPr>
        <w:pStyle w:val="35"/>
        <w:rPr>
          <w:rFonts w:hint="cs"/>
          <w:rtl/>
        </w:rPr>
      </w:pPr>
      <w:r w:rsidRPr="008C0FB5">
        <w:rPr>
          <w:rFonts w:hint="cs"/>
          <w:rtl/>
        </w:rPr>
        <w:t xml:space="preserve">أما السبب بالمعنى الذي أوجده القضاء الفرنسي فهو الباعث الدافع وهو الذي يلتقي مع الفقه الإسلامي تحت خيمة أثر القصود في العقود، وقد رأينا ان هذا الفقه قد سبق الفقه الغربي في مناقشة أثر الباعث على العقد، من عدمه، ومتى يعتد به إن كان له أثر ومتى لا يعتد به، ود أحسن هذا القضاء حين انتهج هذا المنهج المستقل في تفسيره للسبب بأنه الباعث الدافع، والذي تشترط نصوص القانون كونه مشروعاً، بحيث تمكن من إبطال العقود والتصرفات التي يكون الباعث على إنشائها غير مشروع، وكان موفقاً أيضاً بأخذه بمعيار علم الطرف الآخر بذلك الباعث أو إمكان علمه به، وذلك ان الباعث الدافع إذا كان أمراً نفسياً مستكناً في غياهب الصدور وهواجس النفوس فلا مشكلة في عدم الاعتداد به، أما إذا علمه الطرف الآخر أو دلت عليه القرائن وظروف الحال وطبيعة التصرف بما يشير إلى عدم مشروعية الباعث الدافع، بحيث يمكن القول ان الطرف الآخر في العقد كان ينبغي أن يعلم بذلك الباعث، فهنا لابد من تدخل القضاء من أجل إبطال مثل هذا التصرف ترجيحاً لجانب المشروعية وضمان سيادة القانون، وعدم انتهاك قواعده أو مخالفة قواعد النظام العام والآداب العامة، حتى لو أدى هذا إلى الإضرار بمصلحة ذلك المتعاقد </w:t>
      </w:r>
      <w:r w:rsidRPr="008C0FB5">
        <w:rPr>
          <w:rFonts w:ascii="Times New Roman" w:hAnsi="Times New Roman" w:cs="Times New Roman" w:hint="cs"/>
          <w:rtl/>
        </w:rPr>
        <w:t>–</w:t>
      </w:r>
      <w:r w:rsidRPr="008C0FB5">
        <w:rPr>
          <w:rFonts w:hint="cs"/>
          <w:rtl/>
        </w:rPr>
        <w:t xml:space="preserve"> حسن النية </w:t>
      </w:r>
      <w:r w:rsidRPr="008C0FB5">
        <w:rPr>
          <w:rFonts w:ascii="Times New Roman" w:hAnsi="Times New Roman" w:cs="Times New Roman" w:hint="cs"/>
          <w:rtl/>
        </w:rPr>
        <w:t>–</w:t>
      </w:r>
      <w:r w:rsidRPr="008C0FB5">
        <w:rPr>
          <w:rFonts w:hint="cs"/>
          <w:rtl/>
        </w:rPr>
        <w:t xml:space="preserve"> الذي لم يعلم بذلك الباعث رغم كل الأدلة والمؤشرات الدالة على عدم مشروعيته، لأن المصلحة العامة مقدمة على المصلحة الخاصة، ثم ان القانون (لا يحمي المغفلين).</w:t>
      </w:r>
    </w:p>
    <w:p w14:paraId="52B776C0" w14:textId="77777777" w:rsidR="0094067A" w:rsidRPr="008C0FB5" w:rsidRDefault="0094067A" w:rsidP="00C35031">
      <w:pPr>
        <w:pStyle w:val="35"/>
        <w:rPr>
          <w:rFonts w:hint="cs"/>
          <w:rtl/>
        </w:rPr>
      </w:pPr>
      <w:r w:rsidRPr="008C0FB5">
        <w:rPr>
          <w:rFonts w:hint="cs"/>
          <w:rtl/>
        </w:rPr>
        <w:t>أما تجاوز معيار (العلم أو إمكان العلم) بالباعث غير المشروع في إبطال العقود فانه يؤدي إلى تهديد استقرار المعاملات والإضرار بالمتعاقدين.</w:t>
      </w:r>
    </w:p>
    <w:p w14:paraId="63537412" w14:textId="77777777" w:rsidR="0094067A" w:rsidRPr="008C0FB5" w:rsidRDefault="00921573" w:rsidP="00C253D0">
      <w:pPr>
        <w:pStyle w:val="a1"/>
        <w:rPr>
          <w:rFonts w:hint="cs"/>
          <w:rtl/>
        </w:rPr>
      </w:pPr>
      <w:r w:rsidRPr="008C0FB5">
        <w:rPr>
          <w:rtl/>
        </w:rPr>
        <w:br w:type="page"/>
      </w:r>
      <w:bookmarkStart w:id="87" w:name="_Toc8643679"/>
      <w:r w:rsidR="0094067A" w:rsidRPr="008C0FB5">
        <w:rPr>
          <w:rFonts w:hint="cs"/>
          <w:rtl/>
        </w:rPr>
        <w:lastRenderedPageBreak/>
        <w:t>المطلب الثاني: موقف النظام القانوني الألماني</w:t>
      </w:r>
      <w:bookmarkEnd w:id="87"/>
    </w:p>
    <w:p w14:paraId="1398CBF4" w14:textId="77777777" w:rsidR="0094067A" w:rsidRPr="008C0FB5" w:rsidRDefault="0094067A" w:rsidP="00C35031">
      <w:pPr>
        <w:pStyle w:val="48"/>
        <w:rPr>
          <w:rFonts w:hint="cs"/>
          <w:rtl/>
        </w:rPr>
      </w:pPr>
      <w:r w:rsidRPr="008C0FB5">
        <w:rPr>
          <w:rFonts w:hint="cs"/>
          <w:rtl/>
        </w:rPr>
        <w:t xml:space="preserve">ونقسم هذا النظام إلى فرعين نتناول في أولهما موقف القانون الألماني أما الفرع الثاني فنخصصه لبيان موقف القضاء الألماني </w:t>
      </w:r>
      <w:proofErr w:type="gramStart"/>
      <w:r w:rsidRPr="008C0FB5">
        <w:rPr>
          <w:rFonts w:hint="cs"/>
          <w:rtl/>
        </w:rPr>
        <w:t>لنختتم  هذا</w:t>
      </w:r>
      <w:proofErr w:type="gramEnd"/>
      <w:r w:rsidRPr="008C0FB5">
        <w:rPr>
          <w:rFonts w:hint="cs"/>
          <w:rtl/>
        </w:rPr>
        <w:t xml:space="preserve"> المطلب بخاتمة لتقويم هذا الموقف.</w:t>
      </w:r>
    </w:p>
    <w:p w14:paraId="67D51B51" w14:textId="77777777" w:rsidR="0094067A" w:rsidRPr="008C0FB5" w:rsidRDefault="0094067A" w:rsidP="00D04880">
      <w:pPr>
        <w:pStyle w:val="af8"/>
        <w:rPr>
          <w:rFonts w:hint="cs"/>
          <w:rtl/>
          <w:lang w:bidi="ar-IQ"/>
        </w:rPr>
      </w:pPr>
      <w:bookmarkStart w:id="88" w:name="_Toc8643680"/>
      <w:r w:rsidRPr="008C0FB5">
        <w:rPr>
          <w:rFonts w:hint="cs"/>
          <w:rtl/>
          <w:lang w:bidi="ar-IQ"/>
        </w:rPr>
        <w:t xml:space="preserve">الفرع الأول: موقف القانون المـدني </w:t>
      </w:r>
      <w:proofErr w:type="gramStart"/>
      <w:r w:rsidRPr="008C0FB5">
        <w:rPr>
          <w:rFonts w:hint="cs"/>
          <w:rtl/>
          <w:lang w:bidi="ar-IQ"/>
        </w:rPr>
        <w:t>الألمـاني</w:t>
      </w:r>
      <w:r w:rsidRPr="008C0FB5">
        <w:rPr>
          <w:rFonts w:cs="Saihat" w:hint="cs"/>
          <w:szCs w:val="30"/>
          <w:vertAlign w:val="superscript"/>
          <w:rtl/>
          <w:lang w:bidi="ar-IQ"/>
        </w:rPr>
        <w:t>(</w:t>
      </w:r>
      <w:proofErr w:type="gramEnd"/>
      <w:r w:rsidRPr="008C0FB5">
        <w:rPr>
          <w:rFonts w:cs="Saihat"/>
          <w:szCs w:val="30"/>
          <w:vertAlign w:val="superscript"/>
          <w:rtl/>
          <w:lang w:bidi="ar-IQ"/>
        </w:rPr>
        <w:footnoteReference w:id="252"/>
      </w:r>
      <w:r w:rsidRPr="008C0FB5">
        <w:rPr>
          <w:rFonts w:cs="Saihat" w:hint="cs"/>
          <w:szCs w:val="30"/>
          <w:vertAlign w:val="superscript"/>
          <w:rtl/>
          <w:lang w:bidi="ar-IQ"/>
        </w:rPr>
        <w:t>)</w:t>
      </w:r>
      <w:bookmarkEnd w:id="88"/>
      <w:r w:rsidRPr="008C0FB5">
        <w:rPr>
          <w:rFonts w:hint="cs"/>
          <w:rtl/>
          <w:lang w:bidi="ar-IQ"/>
        </w:rPr>
        <w:t xml:space="preserve"> </w:t>
      </w:r>
    </w:p>
    <w:p w14:paraId="7585DDCC" w14:textId="77777777" w:rsidR="0094067A" w:rsidRPr="008C0FB5" w:rsidRDefault="0094067A" w:rsidP="00C35031">
      <w:pPr>
        <w:pStyle w:val="48"/>
        <w:rPr>
          <w:rFonts w:hint="cs"/>
          <w:rtl/>
        </w:rPr>
      </w:pPr>
      <w:r w:rsidRPr="008C0FB5">
        <w:rPr>
          <w:rFonts w:hint="cs"/>
          <w:rtl/>
        </w:rPr>
        <w:t xml:space="preserve">لم يكن لنظرية السبب بشكل عام ونظرية الباعث بشكل خاص حظاً وفيراً في القانون المدني الألماني، فقد صمت هذا القانون عن النص عليها، وحيث ان أهم وظيفة تؤديها النظريات السابقة، هو إبطالها للتصرفات غير المشروعة، فان ما يؤدي هذه الوظيفة في القانون المذكور هو ما ورد في المادة (138/1)، حيث نصت على انه </w:t>
      </w:r>
    </w:p>
    <w:p w14:paraId="2B9AC01D" w14:textId="77777777" w:rsidR="0094067A" w:rsidRPr="008C0FB5" w:rsidRDefault="0094067A" w:rsidP="00A613BA">
      <w:pPr>
        <w:pStyle w:val="afffffff1"/>
      </w:pPr>
      <w:r w:rsidRPr="008C0FB5">
        <w:rPr>
          <w:rFonts w:hint="cs"/>
          <w:rtl/>
        </w:rPr>
        <w:t>يكون باطلاً كل تصرف قانوني يخل بالآداب</w:t>
      </w:r>
    </w:p>
    <w:p w14:paraId="6AC8ECAD" w14:textId="77777777" w:rsidR="0094067A" w:rsidRPr="008C0FB5" w:rsidRDefault="0094067A" w:rsidP="00607EEA">
      <w:pPr>
        <w:pStyle w:val="35"/>
        <w:rPr>
          <w:rFonts w:hint="cs"/>
          <w:rtl/>
        </w:rPr>
      </w:pPr>
      <w:r w:rsidRPr="008C0FB5">
        <w:rPr>
          <w:rFonts w:hint="cs"/>
          <w:rtl/>
        </w:rPr>
        <w:t xml:space="preserve">إلا ان هذا لا </w:t>
      </w:r>
      <w:r w:rsidRPr="008C0FB5">
        <w:rPr>
          <w:rFonts w:hint="cs"/>
          <w:szCs w:val="32"/>
          <w:rtl/>
        </w:rPr>
        <w:t>يعني</w:t>
      </w:r>
      <w:r w:rsidRPr="008C0FB5">
        <w:rPr>
          <w:rFonts w:hint="cs"/>
          <w:rtl/>
        </w:rPr>
        <w:t xml:space="preserve"> ان الفقهاء الألمان لم يعرفوا فكرة السبب والوظيفة التي تؤديها في هذا المجال، فهم يقولون: لا يوجد التزام بغير سبب ويرون أن سبب التزام المتعاقد في العقود الملزمة للجانبين هو التزام الطرف الآخر، وفي العقود العينية فإن رد الشيء هو سبب التزام الذي يسلم مبلغ القرض للمقترض على سبيل المثال، والسبب هنا يشمل كل التصرفات التي تفضي إلى إضافة الذمة وليس محصوراً في باب العقود كما هو الحال في القانون الفرنسي، وعليه فالسبب يتركز في الهدف أو الغرض الذي يقصد تحقيقه، ذلك اذلي يضيف إلى ذمة آخر (المفتقر)</w:t>
      </w:r>
      <w:r w:rsidRPr="008C0FB5">
        <w:rPr>
          <w:rFonts w:cs="Saihat" w:hint="cs"/>
          <w:vertAlign w:val="superscript"/>
          <w:rtl/>
        </w:rPr>
        <w:t>(</w:t>
      </w:r>
      <w:r w:rsidRPr="008C0FB5">
        <w:rPr>
          <w:rStyle w:val="af0"/>
          <w:rFonts w:cs="Saihat"/>
          <w:sz w:val="30"/>
          <w:rtl/>
        </w:rPr>
        <w:footnoteReference w:id="253"/>
      </w:r>
      <w:r w:rsidRPr="008C0FB5">
        <w:rPr>
          <w:rFonts w:cs="Saihat" w:hint="cs"/>
          <w:vertAlign w:val="superscript"/>
          <w:rtl/>
        </w:rPr>
        <w:t>)</w:t>
      </w:r>
      <w:r w:rsidRPr="008C0FB5">
        <w:rPr>
          <w:rFonts w:hint="cs"/>
          <w:rtl/>
        </w:rPr>
        <w:t>.</w:t>
      </w:r>
    </w:p>
    <w:p w14:paraId="392CA860" w14:textId="77777777" w:rsidR="0094067A" w:rsidRPr="008C0FB5" w:rsidRDefault="0094067A" w:rsidP="00C35031">
      <w:pPr>
        <w:pStyle w:val="35"/>
        <w:rPr>
          <w:rFonts w:hint="cs"/>
          <w:rtl/>
        </w:rPr>
      </w:pPr>
      <w:r w:rsidRPr="008C0FB5">
        <w:rPr>
          <w:rFonts w:hint="cs"/>
          <w:rtl/>
        </w:rPr>
        <w:t xml:space="preserve">ويرجع ها الاتجاه للقانون الألماني </w:t>
      </w:r>
      <w:r w:rsidRPr="008C0FB5">
        <w:rPr>
          <w:rFonts w:ascii="Times New Roman" w:hAnsi="Times New Roman" w:cs="Times New Roman" w:hint="cs"/>
          <w:rtl/>
        </w:rPr>
        <w:t>–</w:t>
      </w:r>
      <w:r w:rsidRPr="008C0FB5">
        <w:rPr>
          <w:rFonts w:hint="cs"/>
          <w:rtl/>
        </w:rPr>
        <w:t xml:space="preserve"> كما يبدو </w:t>
      </w:r>
      <w:r w:rsidRPr="008C0FB5">
        <w:rPr>
          <w:rFonts w:ascii="Times New Roman" w:hAnsi="Times New Roman" w:cs="Times New Roman" w:hint="cs"/>
          <w:rtl/>
        </w:rPr>
        <w:t>–</w:t>
      </w:r>
      <w:r w:rsidRPr="008C0FB5">
        <w:rPr>
          <w:rFonts w:hint="cs"/>
          <w:rtl/>
        </w:rPr>
        <w:t xml:space="preserve"> إلى أصل موقفه من فكرة التراضي، والتي كان يجنح فيها إلى الأخذ بالإرادة الظاهرة دون الإرادة الباطنة الكامنة في النفس كأساس للتعاقد، ولهذا تميز القانون الألماني عن القوانين اللاتينية بالنزعة الموضوعية لا </w:t>
      </w:r>
      <w:proofErr w:type="gramStart"/>
      <w:r w:rsidRPr="008C0FB5">
        <w:rPr>
          <w:rFonts w:hint="cs"/>
          <w:rtl/>
        </w:rPr>
        <w:t>الذاتية</w:t>
      </w:r>
      <w:r w:rsidRPr="008C0FB5">
        <w:rPr>
          <w:rFonts w:cs="Saihat" w:hint="cs"/>
          <w:vertAlign w:val="superscript"/>
          <w:rtl/>
        </w:rPr>
        <w:t>(</w:t>
      </w:r>
      <w:proofErr w:type="gramEnd"/>
      <w:r w:rsidRPr="008C0FB5">
        <w:rPr>
          <w:rStyle w:val="af0"/>
          <w:rFonts w:cs="Saihat"/>
          <w:sz w:val="30"/>
          <w:rtl/>
        </w:rPr>
        <w:footnoteReference w:id="254"/>
      </w:r>
      <w:r w:rsidRPr="008C0FB5">
        <w:rPr>
          <w:rFonts w:cs="Saihat" w:hint="cs"/>
          <w:vertAlign w:val="superscript"/>
          <w:rtl/>
        </w:rPr>
        <w:t>)</w:t>
      </w:r>
      <w:r w:rsidRPr="008C0FB5">
        <w:rPr>
          <w:rFonts w:hint="cs"/>
          <w:rtl/>
        </w:rPr>
        <w:t>.</w:t>
      </w:r>
    </w:p>
    <w:p w14:paraId="01444AB6" w14:textId="77777777" w:rsidR="0094067A" w:rsidRPr="008C0FB5" w:rsidRDefault="0094067A" w:rsidP="00C35031">
      <w:pPr>
        <w:pStyle w:val="35"/>
        <w:rPr>
          <w:rFonts w:hint="cs"/>
          <w:rtl/>
        </w:rPr>
      </w:pPr>
      <w:r w:rsidRPr="008C0FB5">
        <w:rPr>
          <w:rFonts w:hint="cs"/>
          <w:rtl/>
        </w:rPr>
        <w:t xml:space="preserve">ولا يمكن القول إن القانون الألماني تلقى هذه النزعة الموضوعية القريبة إلى الشكلية عن القانون الروماني وانه تأثر به بشكل مباشر، ولا يمكن القول بالنسبة للسبب الذي لم يذكره القانون الألماني، بأن السبب لم يكن معروفاً لدى الألمان، فلقد كان هنالك فقهاء كبار في القرنين السابع عشر والثامن عشر في ألمانيا إلا ان أحداً منهم لم يتعرض لبناء نظرية للسبب على غرار ما فعل دوما في فرنسا، ومع ذلك فان فكرة السبب كانت موجودة عند الألمان ذلك انه قد اختفت الشكلية في العقود في ألمانيا منذ القرن السادس عشر، وحلت فكرة الرضائية مكانها، وقد ورد في بعض قوانين المدن الألمانية ما يفيد بأنهم واجهوا مشكلة الوعد من أحد الطرفين بالإعطاء فإذا تبين فيما بعد للواعد بأنه تعهد بدون أساس قانوني، فان له أن يطلب التحلل من الوعد لعدم وجود سبب، وبذلك يكون السبب عندهم عقبة في طريق التصرف القانوني، وليس فكرة لصلاحية العقد، كذلك تكلمت هذه القوانين المحلية عن الهدف المتخيل عند المتعاقد باعتباره فكرة لصلاحية </w:t>
      </w:r>
      <w:r w:rsidRPr="008C0FB5">
        <w:rPr>
          <w:rFonts w:hint="cs"/>
          <w:rtl/>
        </w:rPr>
        <w:lastRenderedPageBreak/>
        <w:t>العقد، وهي صورة عن الفكرة الكنسية التي تسعى لحماية المتعاقدين من الشكلية المفرطة، ولقد أخذ المشروع الأول للقانون المدني الألماني بنظرية (وندشيد) وهي نظرية نفسية (ذاتية) للسبب يعتبرفيها السبب هوم توقع الحصول على شيء.</w:t>
      </w:r>
    </w:p>
    <w:p w14:paraId="33F2E7CF" w14:textId="77777777" w:rsidR="0094067A" w:rsidRPr="008C0FB5" w:rsidRDefault="0094067A" w:rsidP="00C35031">
      <w:pPr>
        <w:pStyle w:val="35"/>
        <w:rPr>
          <w:rFonts w:hint="cs"/>
          <w:rtl/>
        </w:rPr>
      </w:pPr>
      <w:r w:rsidRPr="008C0FB5">
        <w:rPr>
          <w:rFonts w:hint="cs"/>
          <w:rtl/>
        </w:rPr>
        <w:t>ونصت المادة 742 من المشروع على السبب عندما قررت بأنه باستطاعة من قدم أداءاً معيناً مقدراً حدوث مناسبة معينة أو أثراً قانونياً، ثم تبين عدم حصول المناسبة أو الأثر القانوني، فله استرجاع ما قدّمه.</w:t>
      </w:r>
    </w:p>
    <w:p w14:paraId="08B3B2D1" w14:textId="77777777" w:rsidR="0094067A" w:rsidRPr="008C0FB5" w:rsidRDefault="0094067A" w:rsidP="00C35031">
      <w:pPr>
        <w:pStyle w:val="35"/>
        <w:rPr>
          <w:rFonts w:hint="cs"/>
          <w:rtl/>
        </w:rPr>
      </w:pPr>
      <w:r w:rsidRPr="008C0FB5">
        <w:rPr>
          <w:rFonts w:hint="cs"/>
          <w:rtl/>
        </w:rPr>
        <w:t xml:space="preserve">إلا ان لجنة وضع المشروع الثاني للقانون المدني الألماني أخذت بنظرية (ليشيل)، وهي عبارة عن صورة لفكرة عدم الإثراء بلا سبب، وتبعاً لهذا التطور الذي مرت به فكرة السبب فان عدم النص عليها في القانون المدني الألماني، لا يمكن القول بأنهم لم يعرفوا </w:t>
      </w:r>
      <w:proofErr w:type="gramStart"/>
      <w:r w:rsidRPr="008C0FB5">
        <w:rPr>
          <w:rFonts w:hint="cs"/>
          <w:rtl/>
        </w:rPr>
        <w:t>السبب</w:t>
      </w:r>
      <w:r w:rsidRPr="008C0FB5">
        <w:rPr>
          <w:rFonts w:cs="Saihat" w:hint="cs"/>
          <w:vertAlign w:val="superscript"/>
          <w:rtl/>
        </w:rPr>
        <w:t>(</w:t>
      </w:r>
      <w:proofErr w:type="gramEnd"/>
      <w:r w:rsidRPr="008C0FB5">
        <w:rPr>
          <w:rStyle w:val="af0"/>
          <w:rFonts w:cs="Saihat"/>
          <w:sz w:val="30"/>
          <w:rtl/>
        </w:rPr>
        <w:footnoteReference w:id="255"/>
      </w:r>
      <w:r w:rsidRPr="008C0FB5">
        <w:rPr>
          <w:rFonts w:cs="Saihat" w:hint="cs"/>
          <w:vertAlign w:val="superscript"/>
          <w:rtl/>
        </w:rPr>
        <w:t>)</w:t>
      </w:r>
      <w:r w:rsidRPr="008C0FB5">
        <w:rPr>
          <w:rFonts w:hint="cs"/>
          <w:rtl/>
        </w:rPr>
        <w:t>.</w:t>
      </w:r>
    </w:p>
    <w:p w14:paraId="70DFA6E5" w14:textId="77777777" w:rsidR="0094067A" w:rsidRPr="008C0FB5" w:rsidRDefault="0094067A" w:rsidP="00C35031">
      <w:pPr>
        <w:pStyle w:val="35"/>
        <w:rPr>
          <w:rFonts w:hint="cs"/>
          <w:rtl/>
        </w:rPr>
      </w:pPr>
      <w:r w:rsidRPr="008C0FB5">
        <w:rPr>
          <w:rFonts w:hint="cs"/>
          <w:rtl/>
        </w:rPr>
        <w:t xml:space="preserve">وعلى هذا يتبين لنا أن القانون المدني الألماني يعرف نوعين من التصرفات هي: </w:t>
      </w:r>
    </w:p>
    <w:p w14:paraId="4F1292C5" w14:textId="77777777" w:rsidR="0094067A" w:rsidRPr="008C0FB5" w:rsidRDefault="0094067A" w:rsidP="007A1F34">
      <w:pPr>
        <w:pStyle w:val="48"/>
        <w:numPr>
          <w:ilvl w:val="0"/>
          <w:numId w:val="30"/>
        </w:numPr>
        <w:rPr>
          <w:rFonts w:hint="cs"/>
          <w:rtl/>
        </w:rPr>
      </w:pPr>
      <w:r w:rsidRPr="008C0FB5">
        <w:rPr>
          <w:rFonts w:hint="cs"/>
          <w:rtl/>
        </w:rPr>
        <w:t xml:space="preserve">النوع الأول: التصرفات المسببة والتي يعتبر السبب فيها ركناً، يجب أن تتوافر فيه شروطه المعروفة فيكون صحيحاً </w:t>
      </w:r>
      <w:proofErr w:type="gramStart"/>
      <w:r w:rsidRPr="008C0FB5">
        <w:rPr>
          <w:rFonts w:hint="cs"/>
          <w:rtl/>
        </w:rPr>
        <w:t>ومشروعاً</w:t>
      </w:r>
      <w:r w:rsidRPr="008C0FB5">
        <w:rPr>
          <w:rFonts w:cs="Saihat" w:hint="cs"/>
          <w:vertAlign w:val="superscript"/>
          <w:rtl/>
        </w:rPr>
        <w:t>(</w:t>
      </w:r>
      <w:proofErr w:type="gramEnd"/>
      <w:r w:rsidRPr="008C0FB5">
        <w:rPr>
          <w:rStyle w:val="af0"/>
          <w:rFonts w:cs="Saihat"/>
          <w:sz w:val="30"/>
          <w:rtl/>
        </w:rPr>
        <w:footnoteReference w:id="256"/>
      </w:r>
      <w:r w:rsidRPr="008C0FB5">
        <w:rPr>
          <w:rFonts w:cs="Saihat" w:hint="cs"/>
          <w:vertAlign w:val="superscript"/>
          <w:rtl/>
        </w:rPr>
        <w:t>)</w:t>
      </w:r>
      <w:r w:rsidRPr="008C0FB5">
        <w:rPr>
          <w:rFonts w:hint="cs"/>
          <w:rtl/>
        </w:rPr>
        <w:t>.</w:t>
      </w:r>
    </w:p>
    <w:p w14:paraId="16955D45" w14:textId="77777777" w:rsidR="0094067A" w:rsidRPr="008C0FB5" w:rsidRDefault="0094067A" w:rsidP="007A1F34">
      <w:pPr>
        <w:pStyle w:val="48"/>
        <w:numPr>
          <w:ilvl w:val="0"/>
          <w:numId w:val="30"/>
        </w:numPr>
        <w:rPr>
          <w:rFonts w:hint="cs"/>
          <w:rtl/>
        </w:rPr>
      </w:pPr>
      <w:r w:rsidRPr="008C0FB5">
        <w:rPr>
          <w:rFonts w:hint="cs"/>
          <w:rtl/>
        </w:rPr>
        <w:t xml:space="preserve">أما النوع الثاني: وهي التصرفات المجردة التي لا يعتد فيها السبب، ولا بعيوب الإرادة، وقد وضعت لها قواعد </w:t>
      </w:r>
      <w:proofErr w:type="gramStart"/>
      <w:r w:rsidRPr="008C0FB5">
        <w:rPr>
          <w:rFonts w:hint="cs"/>
          <w:rtl/>
        </w:rPr>
        <w:t>عامة</w:t>
      </w:r>
      <w:r w:rsidRPr="008C0FB5">
        <w:rPr>
          <w:rFonts w:cs="Saihat" w:hint="cs"/>
          <w:vertAlign w:val="superscript"/>
          <w:rtl/>
        </w:rPr>
        <w:t>(</w:t>
      </w:r>
      <w:proofErr w:type="gramEnd"/>
      <w:r w:rsidRPr="008C0FB5">
        <w:rPr>
          <w:rStyle w:val="af0"/>
          <w:rFonts w:cs="Saihat"/>
          <w:sz w:val="30"/>
          <w:rtl/>
        </w:rPr>
        <w:footnoteReference w:id="257"/>
      </w:r>
      <w:r w:rsidRPr="008C0FB5">
        <w:rPr>
          <w:rFonts w:cs="Saihat" w:hint="cs"/>
          <w:vertAlign w:val="superscript"/>
          <w:rtl/>
        </w:rPr>
        <w:t>)</w:t>
      </w:r>
      <w:r w:rsidRPr="008C0FB5">
        <w:rPr>
          <w:rFonts w:hint="cs"/>
          <w:rtl/>
        </w:rPr>
        <w:t>.</w:t>
      </w:r>
    </w:p>
    <w:p w14:paraId="7B27E167" w14:textId="77777777" w:rsidR="0094067A" w:rsidRPr="008C0FB5" w:rsidRDefault="0094067A" w:rsidP="00C35031">
      <w:pPr>
        <w:pStyle w:val="35"/>
        <w:rPr>
          <w:rFonts w:hint="cs"/>
          <w:rtl/>
        </w:rPr>
      </w:pPr>
      <w:r w:rsidRPr="008C0FB5">
        <w:rPr>
          <w:rFonts w:hint="cs"/>
          <w:rtl/>
        </w:rPr>
        <w:t>والخلاصة من ذلك كله ان نصوص القانون المدني الألماني لا تساعد على تحري معنى السبب أو تحديد مفهومه، لأن القانون لم يذكر السبب صراحة. فالسبب في هذا القانون جزءاً من التعبير عن الإرادة، حيث ان للمتعاقدين أن يضمنا التعبير عما يريدان من دوافع وبواعث، ولهما في هذا القانون أن يجردا التعبير من سببه أيضاً، فيعبّران عن الالتزام في ذاته دون ذكر لسببه أو للدافع إليه، فيكون الالتزام على هذا النحو التزاماً مجرداً.</w:t>
      </w:r>
    </w:p>
    <w:p w14:paraId="43FF153E" w14:textId="77777777" w:rsidR="0094067A" w:rsidRPr="008C0FB5" w:rsidRDefault="0094067A" w:rsidP="00D04880">
      <w:pPr>
        <w:pStyle w:val="af8"/>
        <w:rPr>
          <w:rFonts w:hint="cs"/>
          <w:rtl/>
          <w:lang w:bidi="ar-IQ"/>
        </w:rPr>
      </w:pPr>
      <w:bookmarkStart w:id="89" w:name="_Toc8643681"/>
      <w:r w:rsidRPr="008C0FB5">
        <w:rPr>
          <w:rFonts w:hint="cs"/>
          <w:rtl/>
          <w:lang w:bidi="ar-IQ"/>
        </w:rPr>
        <w:t>الفرع الثاني: موقف القضاء الألماني</w:t>
      </w:r>
      <w:bookmarkEnd w:id="89"/>
    </w:p>
    <w:p w14:paraId="2BDEC9DC" w14:textId="77777777" w:rsidR="0094067A" w:rsidRPr="008C0FB5" w:rsidRDefault="0094067A" w:rsidP="00C35031">
      <w:pPr>
        <w:pStyle w:val="48"/>
        <w:rPr>
          <w:rFonts w:hint="cs"/>
          <w:rtl/>
        </w:rPr>
      </w:pPr>
      <w:r w:rsidRPr="008C0FB5">
        <w:rPr>
          <w:rFonts w:hint="cs"/>
          <w:rtl/>
        </w:rPr>
        <w:t xml:space="preserve">لقد ذكرنا سابقاً ان القانون الألماني عند بحثه لعدم المشروعية، قد اقتصر في ذلك على الآداب العامة دون ذكر النظام العام، وذلك لأن النظام العام يعتبر سلاح خطير في يد القاضي كما يرى، لأن النظام العام يفهم عادة على انه المبادئ العامة الأساسية التي يقوم عليها النظام العام الاجتماعي والسياسي والصناعي هذا من ناحية، ومن ناحية أخرى ان الآداب </w:t>
      </w:r>
      <w:proofErr w:type="gramStart"/>
      <w:r w:rsidRPr="008C0FB5">
        <w:rPr>
          <w:rFonts w:hint="cs"/>
          <w:rtl/>
        </w:rPr>
        <w:t>العامة</w:t>
      </w:r>
      <w:r w:rsidRPr="008C0FB5">
        <w:rPr>
          <w:rFonts w:cs="Saihat" w:hint="cs"/>
          <w:vertAlign w:val="superscript"/>
          <w:rtl/>
        </w:rPr>
        <w:t>(</w:t>
      </w:r>
      <w:proofErr w:type="gramEnd"/>
      <w:r w:rsidRPr="008C0FB5">
        <w:rPr>
          <w:rStyle w:val="af0"/>
          <w:rFonts w:cs="Saihat"/>
          <w:sz w:val="30"/>
          <w:rtl/>
        </w:rPr>
        <w:footnoteReference w:id="258"/>
      </w:r>
      <w:r w:rsidRPr="008C0FB5">
        <w:rPr>
          <w:rFonts w:cs="Saihat" w:hint="cs"/>
          <w:vertAlign w:val="superscript"/>
          <w:rtl/>
        </w:rPr>
        <w:t>)</w:t>
      </w:r>
      <w:r w:rsidRPr="008C0FB5">
        <w:rPr>
          <w:rFonts w:hint="cs"/>
          <w:rtl/>
        </w:rPr>
        <w:t xml:space="preserve"> معيارها موضوعي أما النظام العام فمعياره شخصي، ولهذا اقتصر القانون المدني الألماني على الآداب العامة وأغفل النظام العام.</w:t>
      </w:r>
    </w:p>
    <w:p w14:paraId="1CF2CAB3" w14:textId="77777777" w:rsidR="0094067A" w:rsidRPr="008C0FB5" w:rsidRDefault="0094067A" w:rsidP="00C35031">
      <w:pPr>
        <w:pStyle w:val="35"/>
        <w:rPr>
          <w:rFonts w:hint="cs"/>
          <w:rtl/>
        </w:rPr>
      </w:pPr>
      <w:r w:rsidRPr="008C0FB5">
        <w:rPr>
          <w:rFonts w:hint="cs"/>
          <w:rtl/>
        </w:rPr>
        <w:t>هذا وبعد أن بيّنا سبب إغفال النظام العام فما هي تطبيقات القضاء الألماني في مجال إبطال التصرفات لإخلالها بالآداب العامة؟</w:t>
      </w:r>
    </w:p>
    <w:p w14:paraId="2956FD56" w14:textId="77777777" w:rsidR="0094067A" w:rsidRPr="008C0FB5" w:rsidRDefault="0094067A" w:rsidP="00C35031">
      <w:pPr>
        <w:pStyle w:val="35"/>
        <w:rPr>
          <w:rFonts w:hint="cs"/>
          <w:rtl/>
        </w:rPr>
      </w:pPr>
      <w:r w:rsidRPr="008C0FB5">
        <w:rPr>
          <w:rFonts w:hint="cs"/>
          <w:rtl/>
        </w:rPr>
        <w:t xml:space="preserve">لقد أبطل القضاء الألماني الاتفاقات التي تخل بمبدأ عدم جواز التصرف في الحرية </w:t>
      </w:r>
      <w:r w:rsidRPr="008C0FB5">
        <w:rPr>
          <w:rFonts w:hint="cs"/>
          <w:rtl/>
        </w:rPr>
        <w:lastRenderedPageBreak/>
        <w:t xml:space="preserve">الشخصية، كالاتفاقات التي تمنع من المناقشة المشروعة أو تقيد من حرية العمل، وكذلك اتفاقات الاحتكار من قبل المنتجين والممارسات الخفية التي يقصد بها رفع الأسعار </w:t>
      </w:r>
      <w:r w:rsidRPr="008C0FB5">
        <w:rPr>
          <w:rFonts w:ascii="Times New Roman" w:hAnsi="Times New Roman" w:cs="Times New Roman" w:hint="cs"/>
          <w:rtl/>
        </w:rPr>
        <w:t>–</w:t>
      </w:r>
      <w:r w:rsidRPr="008C0FB5">
        <w:rPr>
          <w:rFonts w:hint="cs"/>
          <w:rtl/>
        </w:rPr>
        <w:t xml:space="preserve"> إذا ظهرت إلى الوجود بتصرفات صريحة </w:t>
      </w:r>
      <w:r w:rsidRPr="008C0FB5">
        <w:rPr>
          <w:rFonts w:ascii="Times New Roman" w:hAnsi="Times New Roman" w:cs="Times New Roman" w:hint="cs"/>
          <w:rtl/>
        </w:rPr>
        <w:t>–</w:t>
      </w:r>
      <w:r w:rsidRPr="008C0FB5">
        <w:rPr>
          <w:rFonts w:hint="cs"/>
          <w:rtl/>
        </w:rPr>
        <w:t xml:space="preserve"> وتصرف الشخص في جسمه بعد موته لأغراض طبية مع وجود تطور في الشعور العام تجاه ذلك، والاتفاقات المقيدة من حرية الزواج، وعقد الوساطة في الزواج، وقد صدر في ألمانيا تشريع خاص </w:t>
      </w:r>
      <w:proofErr w:type="gramStart"/>
      <w:r w:rsidRPr="008C0FB5">
        <w:rPr>
          <w:rFonts w:hint="cs"/>
          <w:rtl/>
        </w:rPr>
        <w:t>بتحريمه</w:t>
      </w:r>
      <w:r w:rsidRPr="008C0FB5">
        <w:rPr>
          <w:rFonts w:cs="Saihat" w:hint="cs"/>
          <w:vertAlign w:val="superscript"/>
          <w:rtl/>
        </w:rPr>
        <w:t>(</w:t>
      </w:r>
      <w:proofErr w:type="gramEnd"/>
      <w:r w:rsidRPr="008C0FB5">
        <w:rPr>
          <w:rStyle w:val="af0"/>
          <w:rFonts w:cs="Saihat"/>
          <w:sz w:val="30"/>
          <w:rtl/>
        </w:rPr>
        <w:footnoteReference w:id="259"/>
      </w:r>
      <w:r w:rsidRPr="008C0FB5">
        <w:rPr>
          <w:rFonts w:cs="Saihat" w:hint="cs"/>
          <w:vertAlign w:val="superscript"/>
          <w:rtl/>
        </w:rPr>
        <w:t>)</w:t>
      </w:r>
      <w:r w:rsidRPr="008C0FB5">
        <w:rPr>
          <w:rFonts w:hint="cs"/>
          <w:rtl/>
        </w:rPr>
        <w:t>.</w:t>
      </w:r>
    </w:p>
    <w:p w14:paraId="09418A96" w14:textId="77777777" w:rsidR="0094067A" w:rsidRPr="008C0FB5" w:rsidRDefault="0094067A" w:rsidP="00C35031">
      <w:pPr>
        <w:pStyle w:val="48"/>
        <w:rPr>
          <w:rFonts w:hint="cs"/>
          <w:rtl/>
        </w:rPr>
      </w:pPr>
      <w:r w:rsidRPr="008C0FB5">
        <w:rPr>
          <w:rFonts w:hint="cs"/>
          <w:b/>
          <w:bCs/>
          <w:rtl/>
        </w:rPr>
        <w:t>- تقويم الموقف الألماني:</w:t>
      </w:r>
    </w:p>
    <w:p w14:paraId="326E54C4" w14:textId="77777777" w:rsidR="0094067A" w:rsidRPr="008C0FB5" w:rsidRDefault="0094067A" w:rsidP="00C35031">
      <w:pPr>
        <w:pStyle w:val="48"/>
        <w:rPr>
          <w:rFonts w:hint="cs"/>
          <w:rtl/>
        </w:rPr>
      </w:pPr>
      <w:r w:rsidRPr="008C0FB5">
        <w:rPr>
          <w:rFonts w:hint="cs"/>
          <w:rtl/>
        </w:rPr>
        <w:t>إن رأي القانون الألماني بأخذه بالإرادة الظاهرة فقط دون غيرها، هو رأي ذو قصد نبيل، يحاول حماية التصرفات القانونية، وضمان استقرار المعاملات على معايير واضحة وضوابط محددو وعدم السماح بتهديدها بأي عنصر غامض ينتمي إلى كوامن النفس البشرية، ورغم ما تميز به هذا الرأي من بساطته وسهولة تطبيقه ومسايرته للحياة العملية</w:t>
      </w:r>
      <w:r w:rsidRPr="008C0FB5">
        <w:rPr>
          <w:rFonts w:cs="Saihat" w:hint="cs"/>
          <w:vertAlign w:val="superscript"/>
          <w:rtl/>
        </w:rPr>
        <w:t>(</w:t>
      </w:r>
      <w:r w:rsidRPr="008C0FB5">
        <w:rPr>
          <w:rStyle w:val="af0"/>
          <w:rFonts w:cs="Saihat"/>
          <w:sz w:val="30"/>
          <w:rtl/>
        </w:rPr>
        <w:footnoteReference w:id="260"/>
      </w:r>
      <w:r w:rsidRPr="008C0FB5">
        <w:rPr>
          <w:rFonts w:cs="Saihat" w:hint="cs"/>
          <w:vertAlign w:val="superscript"/>
          <w:rtl/>
        </w:rPr>
        <w:t>)</w:t>
      </w:r>
      <w:r w:rsidRPr="008C0FB5">
        <w:rPr>
          <w:rFonts w:hint="cs"/>
          <w:rtl/>
        </w:rPr>
        <w:t xml:space="preserve">، لكنه في ذات الوقت رأي متطرف والأخذ به يؤدي إلى غض الطرف عن انتهاك المبادئ والأخلاق بل والقانون نفسه، وعن حالات من عدم المشروعية تحدث في وضح النهار وأمام أنظار القانتون دون أن يحرك ساكناً ليمنعها، لأن هذه الانتهاكات </w:t>
      </w:r>
      <w:r w:rsidRPr="008C0FB5">
        <w:rPr>
          <w:rFonts w:ascii="Times New Roman" w:hAnsi="Times New Roman" w:cs="Times New Roman" w:hint="cs"/>
          <w:rtl/>
        </w:rPr>
        <w:t>–</w:t>
      </w:r>
      <w:r w:rsidRPr="008C0FB5">
        <w:rPr>
          <w:rFonts w:hint="cs"/>
          <w:rtl/>
        </w:rPr>
        <w:t xml:space="preserve"> والمؤامرات إن صح التعبير </w:t>
      </w:r>
      <w:r w:rsidRPr="008C0FB5">
        <w:rPr>
          <w:rFonts w:ascii="Times New Roman" w:hAnsi="Times New Roman" w:cs="Times New Roman" w:hint="cs"/>
          <w:rtl/>
        </w:rPr>
        <w:t>–</w:t>
      </w:r>
      <w:r w:rsidRPr="008C0FB5">
        <w:rPr>
          <w:rFonts w:hint="cs"/>
          <w:rtl/>
        </w:rPr>
        <w:t xml:space="preserve"> لم يفصح عنها أصحابها ولم تتضمنها إرادتهم الظاهرة، وبالتالي فلا يعتد بها ولا يترتب عليها أي أثر، وهذا في تقديرنا خلل كبير ونقص خطير، فالقانون يحسر نطاق سيطرته وسلطاته عن مساحات مهمة في نطاق التصرفات الإرادية ينبغي تواجده فيها، والنتائج المترتبة على ذلك ستكون واضحة وخطيرة.</w:t>
      </w:r>
    </w:p>
    <w:p w14:paraId="4DB6A67D" w14:textId="77777777" w:rsidR="0094067A" w:rsidRPr="008C0FB5" w:rsidRDefault="0094067A" w:rsidP="00C35031">
      <w:pPr>
        <w:pStyle w:val="35"/>
        <w:rPr>
          <w:rFonts w:hint="cs"/>
          <w:rtl/>
        </w:rPr>
      </w:pPr>
      <w:r w:rsidRPr="008C0FB5">
        <w:rPr>
          <w:rFonts w:hint="cs"/>
          <w:rtl/>
        </w:rPr>
        <w:t xml:space="preserve">كما ان تحديد نطاق النظرية الألمانية في عدم المشروعية على الآداب </w:t>
      </w:r>
      <w:proofErr w:type="gramStart"/>
      <w:r w:rsidRPr="008C0FB5">
        <w:rPr>
          <w:rFonts w:hint="cs"/>
          <w:rtl/>
        </w:rPr>
        <w:t>العامة</w:t>
      </w:r>
      <w:r w:rsidRPr="008C0FB5">
        <w:rPr>
          <w:rFonts w:cs="Saihat" w:hint="cs"/>
          <w:vertAlign w:val="superscript"/>
          <w:rtl/>
        </w:rPr>
        <w:t>(</w:t>
      </w:r>
      <w:proofErr w:type="gramEnd"/>
      <w:r w:rsidRPr="008C0FB5">
        <w:rPr>
          <w:rStyle w:val="af0"/>
          <w:rFonts w:cs="Saihat"/>
          <w:sz w:val="30"/>
          <w:rtl/>
        </w:rPr>
        <w:footnoteReference w:id="261"/>
      </w:r>
      <w:r w:rsidRPr="008C0FB5">
        <w:rPr>
          <w:rFonts w:cs="Saihat" w:hint="cs"/>
          <w:vertAlign w:val="superscript"/>
          <w:rtl/>
        </w:rPr>
        <w:t>)</w:t>
      </w:r>
      <w:r w:rsidRPr="008C0FB5">
        <w:rPr>
          <w:rFonts w:hint="cs"/>
          <w:rtl/>
        </w:rPr>
        <w:t>، يعتبر قصوراً من جهتها، ذلك ان النظام العام هو وسيلة من وسائل حماية المصالح العليا للمجتمع وتظهر هذه الحماية من خلال تقييد أو تضييق بعض القواعد القانونية التي يؤدي التطبيق المطلق لها إلى الإضرار بهذه المصلحة.</w:t>
      </w:r>
    </w:p>
    <w:p w14:paraId="731DE798" w14:textId="77777777" w:rsidR="0094067A" w:rsidRPr="008C0FB5" w:rsidRDefault="00921573" w:rsidP="00C253D0">
      <w:pPr>
        <w:pStyle w:val="a0"/>
        <w:rPr>
          <w:rFonts w:hint="cs"/>
          <w:rtl/>
        </w:rPr>
      </w:pPr>
      <w:r w:rsidRPr="008C0FB5">
        <w:rPr>
          <w:rtl/>
        </w:rPr>
        <w:br w:type="page"/>
      </w:r>
      <w:bookmarkStart w:id="90" w:name="_Toc8643682"/>
      <w:r w:rsidR="0094067A" w:rsidRPr="008C0FB5">
        <w:rPr>
          <w:rFonts w:hint="cs"/>
          <w:rtl/>
        </w:rPr>
        <w:lastRenderedPageBreak/>
        <w:t>المبحث الثاني: موقف بعض النظم القانونية العربية من نظرية الباعث</w:t>
      </w:r>
      <w:bookmarkEnd w:id="90"/>
    </w:p>
    <w:p w14:paraId="5D4A986B" w14:textId="77777777" w:rsidR="0094067A" w:rsidRPr="008C0FB5" w:rsidRDefault="0094067A" w:rsidP="00C35031">
      <w:pPr>
        <w:pStyle w:val="48"/>
        <w:rPr>
          <w:rFonts w:hint="cs"/>
          <w:rtl/>
        </w:rPr>
      </w:pPr>
      <w:r w:rsidRPr="008C0FB5">
        <w:rPr>
          <w:rFonts w:hint="cs"/>
          <w:rtl/>
        </w:rPr>
        <w:t xml:space="preserve">تتفق التقنينات العربية مع مثيلاتها من التقنينات الغربية على الأخذ بالسبب كعنصر آخر من عناصر العقد الأساسية، غير انها تختلف </w:t>
      </w:r>
      <w:r w:rsidRPr="008C0FB5">
        <w:rPr>
          <w:rFonts w:ascii="Times New Roman" w:hAnsi="Times New Roman" w:cs="Times New Roman" w:hint="cs"/>
          <w:rtl/>
        </w:rPr>
        <w:t>–</w:t>
      </w:r>
      <w:r w:rsidRPr="008C0FB5">
        <w:rPr>
          <w:rFonts w:hint="cs"/>
          <w:rtl/>
        </w:rPr>
        <w:t xml:space="preserve"> فيما يبدو </w:t>
      </w:r>
      <w:r w:rsidRPr="008C0FB5">
        <w:rPr>
          <w:rFonts w:ascii="Times New Roman" w:hAnsi="Times New Roman" w:cs="Times New Roman" w:hint="cs"/>
          <w:rtl/>
        </w:rPr>
        <w:t>–</w:t>
      </w:r>
      <w:r w:rsidRPr="008C0FB5">
        <w:rPr>
          <w:rFonts w:hint="cs"/>
          <w:rtl/>
        </w:rPr>
        <w:t xml:space="preserve"> حول طبيعة وماهية هذا السبب، فبعض التقنينات تميل إلى تفسيره بالباعث الدافع </w:t>
      </w:r>
      <w:r w:rsidRPr="008C0FB5">
        <w:rPr>
          <w:rFonts w:ascii="Times New Roman" w:hAnsi="Times New Roman" w:cs="Times New Roman" w:hint="cs"/>
          <w:rtl/>
        </w:rPr>
        <w:t>–</w:t>
      </w:r>
      <w:r w:rsidRPr="008C0FB5">
        <w:rPr>
          <w:rFonts w:hint="cs"/>
          <w:rtl/>
        </w:rPr>
        <w:t xml:space="preserve"> كما هو مفاد النظرية الحديثة في السبب </w:t>
      </w:r>
      <w:r w:rsidRPr="008C0FB5">
        <w:rPr>
          <w:rFonts w:ascii="Times New Roman" w:hAnsi="Times New Roman" w:cs="Times New Roman" w:hint="cs"/>
          <w:rtl/>
        </w:rPr>
        <w:t>–</w:t>
      </w:r>
      <w:r w:rsidRPr="008C0FB5">
        <w:rPr>
          <w:rFonts w:hint="cs"/>
          <w:rtl/>
        </w:rPr>
        <w:t xml:space="preserve"> في حين تنزع تقنينات أخرى إلى تفسيره بالغرض المباشر المقصود من العقد </w:t>
      </w:r>
      <w:r w:rsidRPr="008C0FB5">
        <w:rPr>
          <w:rFonts w:ascii="Times New Roman" w:hAnsi="Times New Roman" w:cs="Times New Roman" w:hint="cs"/>
          <w:rtl/>
        </w:rPr>
        <w:t>–</w:t>
      </w:r>
      <w:r w:rsidRPr="008C0FB5">
        <w:rPr>
          <w:rFonts w:hint="cs"/>
          <w:rtl/>
        </w:rPr>
        <w:t xml:space="preserve"> كما هو مؤدى النظرية التقليدية المعروفة </w:t>
      </w:r>
      <w:r w:rsidRPr="008C0FB5">
        <w:rPr>
          <w:rFonts w:ascii="Times New Roman" w:hAnsi="Times New Roman" w:cs="Times New Roman" w:hint="cs"/>
          <w:rtl/>
        </w:rPr>
        <w:t>–</w:t>
      </w:r>
      <w:r w:rsidRPr="008C0FB5">
        <w:rPr>
          <w:rFonts w:hint="cs"/>
          <w:rtl/>
        </w:rPr>
        <w:t xml:space="preserve"> وهنالك قسم ثالث من هذه التقنينات </w:t>
      </w:r>
      <w:r w:rsidRPr="008C0FB5">
        <w:rPr>
          <w:rFonts w:ascii="Times New Roman" w:hAnsi="Times New Roman" w:cs="Times New Roman" w:hint="cs"/>
          <w:rtl/>
        </w:rPr>
        <w:t>–</w:t>
      </w:r>
      <w:r w:rsidRPr="008C0FB5">
        <w:rPr>
          <w:rFonts w:hint="cs"/>
          <w:rtl/>
        </w:rPr>
        <w:t xml:space="preserve"> وهو القسم الأكبر </w:t>
      </w:r>
      <w:r w:rsidRPr="008C0FB5">
        <w:rPr>
          <w:rFonts w:ascii="Times New Roman" w:hAnsi="Times New Roman" w:cs="Times New Roman" w:hint="cs"/>
          <w:rtl/>
        </w:rPr>
        <w:t>–</w:t>
      </w:r>
      <w:r w:rsidRPr="008C0FB5">
        <w:rPr>
          <w:rFonts w:hint="cs"/>
          <w:rtl/>
        </w:rPr>
        <w:t xml:space="preserve"> يميل كما يظهر إلى الخلط بين هذين الاتجاهين.</w:t>
      </w:r>
    </w:p>
    <w:p w14:paraId="11C637C9" w14:textId="77777777" w:rsidR="0094067A" w:rsidRPr="008C0FB5" w:rsidRDefault="0094067A" w:rsidP="00C35031">
      <w:pPr>
        <w:pStyle w:val="35"/>
        <w:rPr>
          <w:rFonts w:hint="cs"/>
          <w:rtl/>
        </w:rPr>
      </w:pPr>
      <w:r w:rsidRPr="008C0FB5">
        <w:rPr>
          <w:rFonts w:hint="cs"/>
          <w:rtl/>
        </w:rPr>
        <w:t>ولهذا كله فقد قسمنا هذا المبحث إلى مطالب ثلاثة لبحث هذه الاتجاهات الثلاثة تباعاً.</w:t>
      </w:r>
    </w:p>
    <w:p w14:paraId="7C56D79B" w14:textId="77777777" w:rsidR="0094067A" w:rsidRPr="008C0FB5" w:rsidRDefault="0094067A" w:rsidP="00C253D0">
      <w:pPr>
        <w:pStyle w:val="a1"/>
        <w:rPr>
          <w:rFonts w:hint="cs"/>
          <w:rtl/>
        </w:rPr>
      </w:pPr>
      <w:bookmarkStart w:id="91" w:name="_Toc8643683"/>
      <w:r w:rsidRPr="008C0FB5">
        <w:rPr>
          <w:rFonts w:hint="cs"/>
          <w:rtl/>
        </w:rPr>
        <w:t>المطلب الأول: التقنينات العربية التي تميل إلى النظرية الحديثة</w:t>
      </w:r>
      <w:bookmarkEnd w:id="91"/>
    </w:p>
    <w:p w14:paraId="2A9A615A" w14:textId="77777777" w:rsidR="0094067A" w:rsidRPr="008C0FB5" w:rsidRDefault="0094067A" w:rsidP="00C35031">
      <w:pPr>
        <w:pStyle w:val="48"/>
        <w:rPr>
          <w:rFonts w:hint="cs"/>
          <w:rtl/>
        </w:rPr>
      </w:pPr>
      <w:r w:rsidRPr="008C0FB5">
        <w:rPr>
          <w:rFonts w:hint="cs"/>
          <w:rtl/>
        </w:rPr>
        <w:t>نصت المادة 97 من التقنين المدني الجزائري على ما يلي:</w:t>
      </w:r>
    </w:p>
    <w:p w14:paraId="7F957FE6" w14:textId="77777777" w:rsidR="0094067A" w:rsidRPr="008C0FB5" w:rsidRDefault="0094067A" w:rsidP="00A613BA">
      <w:pPr>
        <w:pStyle w:val="afffffff1"/>
        <w:rPr>
          <w:rFonts w:hint="cs"/>
          <w:rtl/>
        </w:rPr>
      </w:pPr>
      <w:r w:rsidRPr="008C0FB5">
        <w:rPr>
          <w:rFonts w:hint="cs"/>
          <w:rtl/>
        </w:rPr>
        <w:t xml:space="preserve">إذا التزم المتعاقد لسبب مشروع، أو لسبب مخالف للنظام العام أو للآداب، كان العقد </w:t>
      </w:r>
      <w:proofErr w:type="gramStart"/>
      <w:r w:rsidRPr="008C0FB5">
        <w:rPr>
          <w:rFonts w:hint="cs"/>
          <w:rtl/>
        </w:rPr>
        <w:t>باطلاً.</w:t>
      </w:r>
      <w:r w:rsidRPr="008C0FB5">
        <w:rPr>
          <w:rFonts w:hint="cs"/>
          <w:szCs w:val="30"/>
          <w:vertAlign w:val="superscript"/>
          <w:rtl/>
        </w:rPr>
        <w:t>(</w:t>
      </w:r>
      <w:proofErr w:type="gramEnd"/>
      <w:r w:rsidRPr="008C0FB5">
        <w:rPr>
          <w:rStyle w:val="af0"/>
          <w:sz w:val="30"/>
          <w:szCs w:val="30"/>
          <w:rtl/>
        </w:rPr>
        <w:footnoteReference w:id="262"/>
      </w:r>
      <w:r w:rsidRPr="008C0FB5">
        <w:rPr>
          <w:rFonts w:hint="cs"/>
          <w:szCs w:val="30"/>
          <w:vertAlign w:val="superscript"/>
          <w:rtl/>
        </w:rPr>
        <w:t>)</w:t>
      </w:r>
      <w:r w:rsidRPr="008C0FB5">
        <w:rPr>
          <w:rFonts w:hint="cs"/>
          <w:rtl/>
        </w:rPr>
        <w:t xml:space="preserve"> </w:t>
      </w:r>
    </w:p>
    <w:p w14:paraId="2558A254" w14:textId="77777777" w:rsidR="0094067A" w:rsidRPr="008C0FB5" w:rsidRDefault="0094067A" w:rsidP="00C35031">
      <w:pPr>
        <w:pStyle w:val="35"/>
        <w:rPr>
          <w:rFonts w:hint="cs"/>
          <w:rtl/>
        </w:rPr>
      </w:pPr>
      <w:r w:rsidRPr="008C0FB5">
        <w:rPr>
          <w:rFonts w:hint="cs"/>
          <w:rtl/>
        </w:rPr>
        <w:t>ومن هذا النص يتبين لنا ان المشرع الجزائري يميل إلى تفسير السبب بأنه الباعث الدافع للتعاقد</w:t>
      </w:r>
      <w:r w:rsidRPr="008C0FB5">
        <w:rPr>
          <w:rFonts w:cs="Saihat" w:hint="cs"/>
          <w:vertAlign w:val="superscript"/>
          <w:rtl/>
        </w:rPr>
        <w:t>(</w:t>
      </w:r>
      <w:r w:rsidRPr="008C0FB5">
        <w:rPr>
          <w:rStyle w:val="af0"/>
          <w:rFonts w:cs="Saihat"/>
          <w:sz w:val="30"/>
          <w:rtl/>
        </w:rPr>
        <w:footnoteReference w:id="263"/>
      </w:r>
      <w:r w:rsidRPr="008C0FB5">
        <w:rPr>
          <w:rFonts w:cs="Saihat" w:hint="cs"/>
          <w:vertAlign w:val="superscript"/>
          <w:rtl/>
        </w:rPr>
        <w:t>)</w:t>
      </w:r>
      <w:r w:rsidRPr="008C0FB5">
        <w:rPr>
          <w:rFonts w:hint="cs"/>
          <w:rtl/>
        </w:rPr>
        <w:t>، ذلك لأنه لم يشترط في السبب إلا شرط المشروعية وهو الشرط الوحيد الذي تتطلبه النظرية الحديثة للسبب فلم يشترط شرط الوجود ذلك لأن هذا الشرط من شروط النظرية التقليدية للسبب وليس شرطاً من شروط الباعث لأن الباعث يكون دائماً موجوداً ولا يمكن تصور إبرام عقد من شخص بدون أن يكون له باعث إلا إذا كان مجنوناً أو مسلوب الإرادة، وعندئذ يبطل العقد لانعدام الرضا، ولكن في بعض الحالات قد يحصل غلط في الباعث ففي هذه الحالة لا يعتد بهذا الغلط إلا إذا اتصل بصفة جوهرية في الشيء محل العقد أو في شخص المتعاقد، ومثال الغلط بصفة جوهرية في الشيء، كمن يشتري لوحة على انها رسم فنان عالمي ثم يتبين غير ذلك، ففي هذه الأحوال يكون العقد موقوفاً بسبب الغلط في الباعث، ومجال الغلط في الباعث هو نظرية الغلط وليس نظرية الباعث</w:t>
      </w:r>
      <w:r w:rsidRPr="008C0FB5">
        <w:rPr>
          <w:rFonts w:cs="Saihat" w:hint="cs"/>
          <w:vertAlign w:val="superscript"/>
          <w:rtl/>
        </w:rPr>
        <w:t>(</w:t>
      </w:r>
      <w:r w:rsidRPr="008C0FB5">
        <w:rPr>
          <w:rStyle w:val="af0"/>
          <w:rFonts w:cs="Saihat"/>
          <w:sz w:val="30"/>
          <w:rtl/>
        </w:rPr>
        <w:footnoteReference w:id="264"/>
      </w:r>
      <w:r w:rsidRPr="008C0FB5">
        <w:rPr>
          <w:rFonts w:cs="Saihat" w:hint="cs"/>
          <w:vertAlign w:val="superscript"/>
          <w:rtl/>
        </w:rPr>
        <w:t>)</w:t>
      </w:r>
      <w:r w:rsidRPr="008C0FB5">
        <w:rPr>
          <w:rFonts w:hint="cs"/>
          <w:rtl/>
        </w:rPr>
        <w:t>.</w:t>
      </w:r>
    </w:p>
    <w:p w14:paraId="54582916" w14:textId="77777777" w:rsidR="0094067A" w:rsidRPr="008C0FB5" w:rsidRDefault="0094067A" w:rsidP="00921573">
      <w:pPr>
        <w:pStyle w:val="35"/>
        <w:spacing w:line="240" w:lineRule="auto"/>
        <w:rPr>
          <w:rFonts w:hint="cs"/>
          <w:rtl/>
        </w:rPr>
      </w:pPr>
      <w:r w:rsidRPr="008C0FB5">
        <w:rPr>
          <w:rFonts w:hint="cs"/>
          <w:rtl/>
        </w:rPr>
        <w:t xml:space="preserve">هذا من جهة ومن جهة أخرى إذا أخفى المتعاقدان الباعث الحقيقي، وضمنا العقد باعثاً آخر، ففي هذه الحالة لا نكون أمام حالة من حالات الغلط في الباعث وإنما نكون أمام الصورية في الباعث، ولكن الصورية وحدها لا تكفي لبطال العقد إلا إذا كان الباعث الحقيقي مخالفاً للنظام العام </w:t>
      </w:r>
      <w:proofErr w:type="gramStart"/>
      <w:r w:rsidRPr="008C0FB5">
        <w:rPr>
          <w:rFonts w:hint="cs"/>
          <w:rtl/>
        </w:rPr>
        <w:t>والآداب</w:t>
      </w:r>
      <w:r w:rsidRPr="008C0FB5">
        <w:rPr>
          <w:rFonts w:cs="Saihat" w:hint="cs"/>
          <w:vertAlign w:val="superscript"/>
          <w:rtl/>
        </w:rPr>
        <w:t>(</w:t>
      </w:r>
      <w:proofErr w:type="gramEnd"/>
      <w:r w:rsidRPr="008C0FB5">
        <w:rPr>
          <w:rStyle w:val="af0"/>
          <w:rFonts w:cs="Saihat"/>
          <w:sz w:val="30"/>
          <w:rtl/>
        </w:rPr>
        <w:footnoteReference w:id="265"/>
      </w:r>
      <w:r w:rsidRPr="008C0FB5">
        <w:rPr>
          <w:rFonts w:cs="Saihat" w:hint="cs"/>
          <w:vertAlign w:val="superscript"/>
          <w:rtl/>
        </w:rPr>
        <w:t>)</w:t>
      </w:r>
      <w:r w:rsidRPr="008C0FB5">
        <w:rPr>
          <w:rFonts w:hint="cs"/>
          <w:rtl/>
        </w:rPr>
        <w:t>.</w:t>
      </w:r>
    </w:p>
    <w:p w14:paraId="552D1026" w14:textId="77777777" w:rsidR="0094067A" w:rsidRPr="008C0FB5" w:rsidRDefault="0094067A" w:rsidP="00921573">
      <w:pPr>
        <w:pStyle w:val="35"/>
        <w:spacing w:line="240" w:lineRule="auto"/>
        <w:rPr>
          <w:rFonts w:hint="cs"/>
          <w:rtl/>
        </w:rPr>
      </w:pPr>
      <w:r w:rsidRPr="008C0FB5">
        <w:rPr>
          <w:rFonts w:hint="cs"/>
          <w:rtl/>
        </w:rPr>
        <w:t xml:space="preserve">وقد نصت على ذلك المادة (98/1) من التقنين الجزائري إذ جاء فيها ما يلي: </w:t>
      </w:r>
    </w:p>
    <w:p w14:paraId="3CD175DE" w14:textId="77777777" w:rsidR="0094067A" w:rsidRPr="008C0FB5" w:rsidRDefault="0094067A" w:rsidP="00A613BA">
      <w:pPr>
        <w:pStyle w:val="afffffff1"/>
        <w:rPr>
          <w:rFonts w:hint="cs"/>
          <w:rtl/>
        </w:rPr>
      </w:pPr>
      <w:r w:rsidRPr="008C0FB5">
        <w:rPr>
          <w:rFonts w:hint="cs"/>
          <w:rtl/>
        </w:rPr>
        <w:t>ويعتبر السبب المذكور في العقد هو السبب الحقيقي حتى يقوم الدليل على ما يخالف ذلك، فإذا قام الدليل على صورية السبب فعلى من يدعي ان للالتزام سبباً آخر مشروعاً أن يثبت ما يدعيه</w:t>
      </w:r>
      <w:r w:rsidR="003E1E9A" w:rsidRPr="008C0FB5">
        <w:rPr>
          <w:rFonts w:cs="hashemi" w:hint="cs"/>
          <w:rtl/>
          <w:lang w:bidi="ar-IQ"/>
        </w:rPr>
        <w:t>.</w:t>
      </w:r>
    </w:p>
    <w:p w14:paraId="4AA3AD59" w14:textId="77777777" w:rsidR="0094067A" w:rsidRPr="008C0FB5" w:rsidRDefault="0094067A" w:rsidP="00C35031">
      <w:pPr>
        <w:pStyle w:val="35"/>
        <w:rPr>
          <w:rFonts w:hint="cs"/>
          <w:rtl/>
        </w:rPr>
      </w:pPr>
      <w:r w:rsidRPr="008C0FB5">
        <w:rPr>
          <w:rFonts w:hint="cs"/>
          <w:rtl/>
        </w:rPr>
        <w:t xml:space="preserve">أما الفقرة الثانية فقد نصت على ما يلي: </w:t>
      </w:r>
    </w:p>
    <w:p w14:paraId="043E1829" w14:textId="77777777" w:rsidR="0094067A" w:rsidRPr="008C0FB5" w:rsidRDefault="0094067A" w:rsidP="00A613BA">
      <w:pPr>
        <w:pStyle w:val="afffffff1"/>
        <w:rPr>
          <w:rFonts w:hint="cs"/>
          <w:rtl/>
        </w:rPr>
      </w:pPr>
      <w:r w:rsidRPr="008C0FB5">
        <w:rPr>
          <w:rFonts w:hint="cs"/>
          <w:rtl/>
        </w:rPr>
        <w:t>كل التزام مفترض له سبباً مشروعاً، ما لم يقم الدليل على غير ذلك</w:t>
      </w:r>
      <w:r w:rsidR="003E1E9A" w:rsidRPr="008C0FB5">
        <w:rPr>
          <w:rFonts w:cs="hashemi" w:hint="cs"/>
          <w:rtl/>
          <w:lang w:bidi="ar-IQ"/>
        </w:rPr>
        <w:t>.</w:t>
      </w:r>
    </w:p>
    <w:p w14:paraId="5D3194CA" w14:textId="77777777" w:rsidR="0094067A" w:rsidRPr="008C0FB5" w:rsidRDefault="0094067A" w:rsidP="00C35031">
      <w:pPr>
        <w:pStyle w:val="35"/>
        <w:rPr>
          <w:rFonts w:hint="cs"/>
          <w:rtl/>
        </w:rPr>
      </w:pPr>
      <w:r w:rsidRPr="008C0FB5">
        <w:rPr>
          <w:rFonts w:hint="cs"/>
          <w:rtl/>
        </w:rPr>
        <w:lastRenderedPageBreak/>
        <w:t xml:space="preserve">ولم يكن التقنين المدني الجزائري القانون الوحيد الذي أخذ بالنظرية الحديثة للسبب فقد تبعه في ذلك القانون المدني الليبي الذي نص في المادة 136 على انه: </w:t>
      </w:r>
    </w:p>
    <w:p w14:paraId="5225F68D" w14:textId="77777777" w:rsidR="0094067A" w:rsidRPr="008C0FB5" w:rsidRDefault="0094067A" w:rsidP="00A613BA">
      <w:pPr>
        <w:pStyle w:val="afffffff1"/>
        <w:rPr>
          <w:rFonts w:hint="cs"/>
          <w:rtl/>
        </w:rPr>
      </w:pPr>
      <w:r w:rsidRPr="008C0FB5">
        <w:rPr>
          <w:rFonts w:hint="cs"/>
          <w:rtl/>
        </w:rPr>
        <w:t xml:space="preserve">إذا التزم المتعاقد بسبب غير مشروع، كان العقد </w:t>
      </w:r>
      <w:proofErr w:type="gramStart"/>
      <w:r w:rsidRPr="008C0FB5">
        <w:rPr>
          <w:rFonts w:hint="cs"/>
          <w:rtl/>
        </w:rPr>
        <w:t>باطلاً</w:t>
      </w:r>
      <w:r w:rsidRPr="008C0FB5">
        <w:rPr>
          <w:rFonts w:hint="cs"/>
          <w:szCs w:val="30"/>
          <w:vertAlign w:val="superscript"/>
          <w:rtl/>
        </w:rPr>
        <w:t>(</w:t>
      </w:r>
      <w:proofErr w:type="gramEnd"/>
      <w:r w:rsidRPr="008C0FB5">
        <w:rPr>
          <w:rStyle w:val="af0"/>
          <w:sz w:val="30"/>
          <w:szCs w:val="30"/>
          <w:rtl/>
        </w:rPr>
        <w:footnoteReference w:id="266"/>
      </w:r>
      <w:r w:rsidRPr="008C0FB5">
        <w:rPr>
          <w:rFonts w:hint="cs"/>
          <w:szCs w:val="30"/>
          <w:vertAlign w:val="superscript"/>
          <w:rtl/>
        </w:rPr>
        <w:t>)</w:t>
      </w:r>
      <w:r w:rsidRPr="008C0FB5">
        <w:rPr>
          <w:rFonts w:hint="cs"/>
          <w:rtl/>
        </w:rPr>
        <w:t>.</w:t>
      </w:r>
    </w:p>
    <w:p w14:paraId="15707204" w14:textId="77777777" w:rsidR="0094067A" w:rsidRPr="008C0FB5" w:rsidRDefault="0094067A" w:rsidP="00C35031">
      <w:pPr>
        <w:pStyle w:val="35"/>
        <w:rPr>
          <w:rFonts w:hint="cs"/>
          <w:rtl/>
        </w:rPr>
      </w:pPr>
      <w:r w:rsidRPr="008C0FB5">
        <w:rPr>
          <w:rFonts w:hint="cs"/>
          <w:rtl/>
        </w:rPr>
        <w:t xml:space="preserve">وكذلك القانون المدني </w:t>
      </w:r>
      <w:proofErr w:type="gramStart"/>
      <w:r w:rsidRPr="008C0FB5">
        <w:rPr>
          <w:rFonts w:hint="cs"/>
          <w:rtl/>
        </w:rPr>
        <w:t>الكويتي</w:t>
      </w:r>
      <w:r w:rsidRPr="008C0FB5">
        <w:rPr>
          <w:rFonts w:cs="Saihat" w:hint="cs"/>
          <w:vertAlign w:val="superscript"/>
          <w:rtl/>
        </w:rPr>
        <w:t>(</w:t>
      </w:r>
      <w:proofErr w:type="gramEnd"/>
      <w:r w:rsidRPr="008C0FB5">
        <w:rPr>
          <w:rStyle w:val="af0"/>
          <w:rFonts w:cs="Saihat"/>
          <w:sz w:val="30"/>
          <w:rtl/>
        </w:rPr>
        <w:footnoteReference w:id="267"/>
      </w:r>
      <w:r w:rsidRPr="008C0FB5">
        <w:rPr>
          <w:rFonts w:cs="Saihat" w:hint="cs"/>
          <w:vertAlign w:val="superscript"/>
          <w:rtl/>
        </w:rPr>
        <w:t>)</w:t>
      </w:r>
      <w:r w:rsidRPr="008C0FB5">
        <w:rPr>
          <w:rFonts w:hint="cs"/>
          <w:rtl/>
        </w:rPr>
        <w:t xml:space="preserve"> إذ نص في المادة 176 بقوله: </w:t>
      </w:r>
    </w:p>
    <w:p w14:paraId="15D2C16C" w14:textId="77777777" w:rsidR="0094067A" w:rsidRPr="008C0FB5" w:rsidRDefault="0094067A" w:rsidP="00A613BA">
      <w:pPr>
        <w:pStyle w:val="afffffff1"/>
        <w:rPr>
          <w:rFonts w:hint="cs"/>
          <w:rtl/>
        </w:rPr>
      </w:pPr>
      <w:r w:rsidRPr="008C0FB5">
        <w:rPr>
          <w:rFonts w:hint="cs"/>
          <w:rtl/>
        </w:rPr>
        <w:t>ويعتد في السبب، بالباعث المستحث الذي يدفع المتعاقد إلى التعاقد، إذا كان المتعاقد الآخر يعلمه، أو كان ينبغي أن يعلمه</w:t>
      </w:r>
      <w:r w:rsidR="003E1E9A" w:rsidRPr="008C0FB5">
        <w:rPr>
          <w:rFonts w:cs="hashemi" w:hint="cs"/>
          <w:rtl/>
          <w:lang w:bidi="ar-IQ"/>
        </w:rPr>
        <w:t>.</w:t>
      </w:r>
      <w:r w:rsidRPr="008C0FB5">
        <w:rPr>
          <w:rFonts w:hint="cs"/>
          <w:rtl/>
        </w:rPr>
        <w:t xml:space="preserve"> </w:t>
      </w:r>
    </w:p>
    <w:p w14:paraId="51530807" w14:textId="77777777" w:rsidR="0094067A" w:rsidRPr="008C0FB5" w:rsidRDefault="0094067A" w:rsidP="00C35031">
      <w:pPr>
        <w:pStyle w:val="35"/>
        <w:rPr>
          <w:rFonts w:hint="cs"/>
          <w:rtl/>
        </w:rPr>
      </w:pPr>
      <w:r w:rsidRPr="008C0FB5">
        <w:rPr>
          <w:rFonts w:hint="cs"/>
          <w:rtl/>
        </w:rPr>
        <w:t xml:space="preserve">وهذا القانون الأخير قد صرح وبشكل واضح ومقصود منه في تفسير السبب بمعنى الباعث الدافع الذي تتبناه النظرية الحديثة المذكورة، وذلك بعد أن وضحت </w:t>
      </w:r>
      <w:r w:rsidRPr="008C0FB5">
        <w:rPr>
          <w:rFonts w:ascii="Times New Roman" w:hAnsi="Times New Roman" w:cs="Times New Roman" w:hint="cs"/>
          <w:rtl/>
        </w:rPr>
        <w:t>–</w:t>
      </w:r>
      <w:r w:rsidRPr="008C0FB5">
        <w:rPr>
          <w:rFonts w:hint="cs"/>
          <w:rtl/>
        </w:rPr>
        <w:t xml:space="preserve"> هذه المادة بفقرتها الأولى </w:t>
      </w:r>
      <w:r w:rsidRPr="008C0FB5">
        <w:rPr>
          <w:rFonts w:ascii="Times New Roman" w:hAnsi="Times New Roman" w:cs="Times New Roman" w:hint="cs"/>
          <w:rtl/>
        </w:rPr>
        <w:t>–</w:t>
      </w:r>
      <w:r w:rsidRPr="008C0FB5">
        <w:rPr>
          <w:rFonts w:hint="cs"/>
          <w:rtl/>
        </w:rPr>
        <w:t xml:space="preserve"> مبطلات العقد المتعلقة بالسبب، وبالشكل الذي أوضحته القوانين العربية الأخرى </w:t>
      </w:r>
      <w:proofErr w:type="gramStart"/>
      <w:r w:rsidRPr="008C0FB5">
        <w:rPr>
          <w:rFonts w:hint="cs"/>
          <w:rtl/>
        </w:rPr>
        <w:t>المذكورة</w:t>
      </w:r>
      <w:r w:rsidRPr="008C0FB5">
        <w:rPr>
          <w:rFonts w:cs="Saihat" w:hint="cs"/>
          <w:vertAlign w:val="superscript"/>
          <w:rtl/>
        </w:rPr>
        <w:t>(</w:t>
      </w:r>
      <w:proofErr w:type="gramEnd"/>
      <w:r w:rsidRPr="008C0FB5">
        <w:rPr>
          <w:rStyle w:val="af0"/>
          <w:rFonts w:cs="Saihat"/>
          <w:sz w:val="30"/>
          <w:rtl/>
        </w:rPr>
        <w:footnoteReference w:id="268"/>
      </w:r>
      <w:r w:rsidRPr="008C0FB5">
        <w:rPr>
          <w:rFonts w:cs="Saihat" w:hint="cs"/>
          <w:vertAlign w:val="superscript"/>
          <w:rtl/>
        </w:rPr>
        <w:t>)</w:t>
      </w:r>
      <w:r w:rsidRPr="008C0FB5">
        <w:rPr>
          <w:rFonts w:hint="cs"/>
          <w:rtl/>
        </w:rPr>
        <w:t>.</w:t>
      </w:r>
    </w:p>
    <w:p w14:paraId="7967CC6E" w14:textId="77777777" w:rsidR="0094067A" w:rsidRPr="008C0FB5" w:rsidRDefault="0094067A" w:rsidP="00C35031">
      <w:pPr>
        <w:pStyle w:val="35"/>
        <w:rPr>
          <w:rFonts w:hint="cs"/>
          <w:rtl/>
        </w:rPr>
      </w:pPr>
      <w:r w:rsidRPr="008C0FB5">
        <w:rPr>
          <w:rFonts w:hint="cs"/>
          <w:rtl/>
        </w:rPr>
        <w:t>ولم يخرج هذان القانونان الأخيران عما جاء في القانون المدني الجزائري ولذلك نكتفي بما ذكرناه بشأن القانون الاخير.</w:t>
      </w:r>
    </w:p>
    <w:p w14:paraId="1E1A9AA3" w14:textId="77777777" w:rsidR="0094067A" w:rsidRPr="008C0FB5" w:rsidRDefault="0094067A" w:rsidP="00C35031">
      <w:pPr>
        <w:pStyle w:val="35"/>
        <w:rPr>
          <w:rFonts w:hint="cs"/>
          <w:rtl/>
        </w:rPr>
      </w:pPr>
      <w:r w:rsidRPr="008C0FB5">
        <w:rPr>
          <w:rFonts w:hint="cs"/>
          <w:rtl/>
        </w:rPr>
        <w:t>ولقلة المصادر فلم نستع الحصول على التطبيقات القضائية لهذه القوانين تعزيزاً لما ذكرناه وبياناً لموقف القضاء فيها.</w:t>
      </w:r>
    </w:p>
    <w:p w14:paraId="7DAB30A9" w14:textId="77777777" w:rsidR="0094067A" w:rsidRPr="008C0FB5" w:rsidRDefault="00921573" w:rsidP="00C253D0">
      <w:pPr>
        <w:pStyle w:val="a1"/>
        <w:rPr>
          <w:rFonts w:hint="cs"/>
          <w:rtl/>
        </w:rPr>
      </w:pPr>
      <w:r w:rsidRPr="008C0FB5">
        <w:rPr>
          <w:rtl/>
        </w:rPr>
        <w:br w:type="page"/>
      </w:r>
      <w:bookmarkStart w:id="92" w:name="_Toc8643684"/>
      <w:r w:rsidR="0094067A" w:rsidRPr="008C0FB5">
        <w:rPr>
          <w:rFonts w:hint="cs"/>
          <w:rtl/>
        </w:rPr>
        <w:lastRenderedPageBreak/>
        <w:t>المطلب الثاني: التقنينات العربية التي لم تأخذ بالنظرية الحديثة</w:t>
      </w:r>
      <w:bookmarkEnd w:id="92"/>
    </w:p>
    <w:p w14:paraId="2B76AE3E" w14:textId="77777777" w:rsidR="0094067A" w:rsidRPr="008C0FB5" w:rsidRDefault="0094067A" w:rsidP="00C35031">
      <w:pPr>
        <w:pStyle w:val="48"/>
        <w:rPr>
          <w:rFonts w:hint="cs"/>
          <w:rtl/>
        </w:rPr>
      </w:pPr>
      <w:r w:rsidRPr="008C0FB5">
        <w:rPr>
          <w:rFonts w:hint="cs"/>
          <w:rtl/>
        </w:rPr>
        <w:t>ومن أبرز هذه التقنينات هو قانون الالتزامات والعقود المغربي</w:t>
      </w:r>
      <w:r w:rsidRPr="008C0FB5">
        <w:rPr>
          <w:rStyle w:val="af0"/>
          <w:sz w:val="30"/>
          <w:rtl/>
        </w:rPr>
        <w:footnoteReference w:id="269"/>
      </w:r>
      <w:r w:rsidRPr="008C0FB5">
        <w:rPr>
          <w:rFonts w:hint="cs"/>
          <w:rtl/>
        </w:rPr>
        <w:t xml:space="preserve"> الذي اقتفى موقف المشرع الفرنسي في صياغته لنظرية السبب وصاغ أحكامها في المواد (62 </w:t>
      </w:r>
      <w:r w:rsidRPr="008C0FB5">
        <w:rPr>
          <w:rFonts w:ascii="Times New Roman" w:hAnsi="Times New Roman" w:cs="Times New Roman" w:hint="cs"/>
          <w:rtl/>
        </w:rPr>
        <w:t>–</w:t>
      </w:r>
      <w:r w:rsidRPr="008C0FB5">
        <w:rPr>
          <w:rFonts w:hint="cs"/>
          <w:rtl/>
        </w:rPr>
        <w:t xml:space="preserve"> 65) والتي جاءت مطابقة للمواد (1131 </w:t>
      </w:r>
      <w:r w:rsidRPr="008C0FB5">
        <w:rPr>
          <w:rFonts w:ascii="Times New Roman" w:hAnsi="Times New Roman" w:cs="Times New Roman" w:hint="cs"/>
          <w:rtl/>
        </w:rPr>
        <w:t>–</w:t>
      </w:r>
      <w:r w:rsidRPr="008C0FB5">
        <w:rPr>
          <w:rFonts w:hint="cs"/>
          <w:rtl/>
        </w:rPr>
        <w:t xml:space="preserve"> 1133) من القانون المدني الفرنسي التي هي أساس النظرية التقليدية فالمادة 62 من قانون الالتزامات والعقود المغربي نصت على ما يلي: </w:t>
      </w:r>
    </w:p>
    <w:p w14:paraId="03075B44" w14:textId="77777777" w:rsidR="0094067A" w:rsidRPr="008C0FB5" w:rsidRDefault="0094067A" w:rsidP="00A613BA">
      <w:pPr>
        <w:pStyle w:val="afffffff1"/>
        <w:rPr>
          <w:rFonts w:hint="cs"/>
          <w:rtl/>
        </w:rPr>
      </w:pPr>
      <w:r w:rsidRPr="008C0FB5">
        <w:rPr>
          <w:rFonts w:hint="cs"/>
          <w:rtl/>
        </w:rPr>
        <w:t>1- الالتزام الذي لا سبب له أو المبني على سبب غير مشروع يعد كأن لم يكن. 2- ويكون السبب غير مشروع إذا كان مخالفاً للأخلاق الحميدة أو النظام العام أو للقانون</w:t>
      </w:r>
      <w:r w:rsidR="003E1E9A" w:rsidRPr="008C0FB5">
        <w:rPr>
          <w:rFonts w:cs="hashemi" w:hint="cs"/>
          <w:rtl/>
          <w:lang w:bidi="ar-IQ"/>
        </w:rPr>
        <w:t>.</w:t>
      </w:r>
    </w:p>
    <w:p w14:paraId="4C44F1E8" w14:textId="77777777" w:rsidR="0094067A" w:rsidRPr="008C0FB5" w:rsidRDefault="0094067A" w:rsidP="00C35031">
      <w:pPr>
        <w:pStyle w:val="35"/>
        <w:rPr>
          <w:rFonts w:hint="cs"/>
          <w:rtl/>
        </w:rPr>
      </w:pPr>
      <w:r w:rsidRPr="008C0FB5">
        <w:rPr>
          <w:rFonts w:hint="cs"/>
          <w:rtl/>
        </w:rPr>
        <w:t xml:space="preserve">أما المادة 63 منه فقد نصت على انه </w:t>
      </w:r>
    </w:p>
    <w:p w14:paraId="0C011F96" w14:textId="77777777" w:rsidR="0094067A" w:rsidRPr="008C0FB5" w:rsidRDefault="0094067A" w:rsidP="00A613BA">
      <w:pPr>
        <w:pStyle w:val="afffffff1"/>
        <w:rPr>
          <w:rFonts w:hint="cs"/>
          <w:rtl/>
        </w:rPr>
      </w:pPr>
      <w:r w:rsidRPr="008C0FB5">
        <w:rPr>
          <w:rFonts w:hint="cs"/>
          <w:rtl/>
        </w:rPr>
        <w:t>يفترض في كل التزام أن له سبباً حقيقياً ومشروعاً ولو لم يذكر</w:t>
      </w:r>
      <w:r w:rsidR="003E1E9A" w:rsidRPr="008C0FB5">
        <w:rPr>
          <w:rFonts w:cs="hashemi" w:hint="cs"/>
          <w:rtl/>
          <w:lang w:bidi="ar-IQ"/>
        </w:rPr>
        <w:t>.</w:t>
      </w:r>
    </w:p>
    <w:p w14:paraId="222580DB" w14:textId="77777777" w:rsidR="0094067A" w:rsidRPr="008C0FB5" w:rsidRDefault="0094067A" w:rsidP="00C35031">
      <w:pPr>
        <w:pStyle w:val="35"/>
        <w:rPr>
          <w:rFonts w:hint="cs"/>
          <w:rtl/>
        </w:rPr>
      </w:pPr>
      <w:r w:rsidRPr="008C0FB5">
        <w:rPr>
          <w:rFonts w:hint="cs"/>
          <w:rtl/>
        </w:rPr>
        <w:t xml:space="preserve">والمادة 64 نصت على انه </w:t>
      </w:r>
    </w:p>
    <w:p w14:paraId="13CD105A" w14:textId="77777777" w:rsidR="0094067A" w:rsidRPr="008C0FB5" w:rsidRDefault="0094067A" w:rsidP="00A613BA">
      <w:pPr>
        <w:pStyle w:val="afffffff1"/>
        <w:rPr>
          <w:rFonts w:hint="cs"/>
          <w:rtl/>
        </w:rPr>
      </w:pPr>
      <w:r w:rsidRPr="008C0FB5">
        <w:rPr>
          <w:rFonts w:hint="cs"/>
          <w:rtl/>
        </w:rPr>
        <w:t>إذا ثبت ان السبب المذكور هو السبب الحقيقي حتى يثبت العكس</w:t>
      </w:r>
      <w:r w:rsidR="003E1E9A" w:rsidRPr="008C0FB5">
        <w:rPr>
          <w:rFonts w:cs="hashemi" w:hint="cs"/>
          <w:rtl/>
          <w:lang w:bidi="ar-IQ"/>
        </w:rPr>
        <w:t>.</w:t>
      </w:r>
    </w:p>
    <w:p w14:paraId="3CF9086A" w14:textId="77777777" w:rsidR="0094067A" w:rsidRPr="008C0FB5" w:rsidRDefault="0094067A" w:rsidP="00C35031">
      <w:pPr>
        <w:pStyle w:val="35"/>
        <w:rPr>
          <w:rFonts w:hint="cs"/>
          <w:rtl/>
        </w:rPr>
      </w:pPr>
      <w:r w:rsidRPr="008C0FB5">
        <w:rPr>
          <w:rFonts w:hint="cs"/>
          <w:rtl/>
        </w:rPr>
        <w:t xml:space="preserve">ولم يقف هذا القانون عند هذا الحد فقد نص في المادة 65 على انه </w:t>
      </w:r>
    </w:p>
    <w:p w14:paraId="38C49B6E" w14:textId="77777777" w:rsidR="0094067A" w:rsidRPr="008C0FB5" w:rsidRDefault="0094067A" w:rsidP="00A613BA">
      <w:pPr>
        <w:pStyle w:val="afffffff1"/>
        <w:rPr>
          <w:rFonts w:hint="cs"/>
          <w:rtl/>
        </w:rPr>
      </w:pPr>
      <w:r w:rsidRPr="008C0FB5">
        <w:rPr>
          <w:rFonts w:hint="cs"/>
          <w:rtl/>
        </w:rPr>
        <w:t>إذا ثبت السبب المذكور غير حقيقي أو غير مشروع، كان على من يدعي ان للالتزام سبباً آخر مشروعاً، أن يقيم الدليل عليه</w:t>
      </w:r>
      <w:r w:rsidR="003E1E9A" w:rsidRPr="008C0FB5">
        <w:rPr>
          <w:rFonts w:cs="hashemi" w:hint="cs"/>
          <w:rtl/>
          <w:lang w:bidi="ar-IQ"/>
        </w:rPr>
        <w:t>.</w:t>
      </w:r>
    </w:p>
    <w:p w14:paraId="698BAB64" w14:textId="77777777" w:rsidR="0094067A" w:rsidRPr="008C0FB5" w:rsidRDefault="0094067A" w:rsidP="00C35031">
      <w:pPr>
        <w:pStyle w:val="35"/>
        <w:rPr>
          <w:rFonts w:hint="cs"/>
          <w:rtl/>
        </w:rPr>
      </w:pPr>
      <w:r w:rsidRPr="008C0FB5">
        <w:rPr>
          <w:rFonts w:hint="cs"/>
          <w:rtl/>
        </w:rPr>
        <w:t xml:space="preserve">ومما سبق يتبين لنا من الصياغة القانونية للمواد الخاصة بالسبب ان المشرع المغربي قد سلك منهج القانون الفرنسي بأخذه بالنظرية </w:t>
      </w:r>
      <w:proofErr w:type="gramStart"/>
      <w:r w:rsidRPr="008C0FB5">
        <w:rPr>
          <w:rFonts w:hint="cs"/>
          <w:rtl/>
        </w:rPr>
        <w:t>التقليدية</w:t>
      </w:r>
      <w:r w:rsidRPr="008C0FB5">
        <w:rPr>
          <w:rFonts w:cs="Saihat" w:hint="cs"/>
          <w:vertAlign w:val="superscript"/>
          <w:rtl/>
        </w:rPr>
        <w:t>(</w:t>
      </w:r>
      <w:proofErr w:type="gramEnd"/>
      <w:r w:rsidRPr="008C0FB5">
        <w:rPr>
          <w:rStyle w:val="af0"/>
          <w:rFonts w:cs="Saihat"/>
          <w:sz w:val="30"/>
          <w:rtl/>
        </w:rPr>
        <w:footnoteReference w:id="270"/>
      </w:r>
      <w:r w:rsidRPr="008C0FB5">
        <w:rPr>
          <w:rFonts w:cs="Saihat" w:hint="cs"/>
          <w:vertAlign w:val="superscript"/>
          <w:rtl/>
        </w:rPr>
        <w:t>)</w:t>
      </w:r>
      <w:r w:rsidRPr="008C0FB5">
        <w:rPr>
          <w:rFonts w:hint="cs"/>
          <w:rtl/>
        </w:rPr>
        <w:t xml:space="preserve"> في السبب وإغفاله للنظرية الحديثة </w:t>
      </w:r>
      <w:r w:rsidRPr="008C0FB5">
        <w:rPr>
          <w:rFonts w:ascii="Times New Roman" w:hAnsi="Times New Roman" w:cs="Times New Roman" w:hint="cs"/>
          <w:rtl/>
        </w:rPr>
        <w:t>–</w:t>
      </w:r>
      <w:r w:rsidRPr="008C0FB5">
        <w:rPr>
          <w:rFonts w:hint="cs"/>
          <w:rtl/>
        </w:rPr>
        <w:t xml:space="preserve"> نظرية الباعث </w:t>
      </w:r>
      <w:r w:rsidRPr="008C0FB5">
        <w:rPr>
          <w:rFonts w:ascii="Times New Roman" w:hAnsi="Times New Roman" w:cs="Times New Roman" w:hint="cs"/>
          <w:rtl/>
        </w:rPr>
        <w:t>–</w:t>
      </w:r>
      <w:r w:rsidRPr="008C0FB5">
        <w:rPr>
          <w:rFonts w:hint="cs"/>
          <w:rtl/>
        </w:rPr>
        <w:t xml:space="preserve"> وذلك باشتراطه أن يكون السبب موجوداً وحقيقياً ومشروعاً. ولذلك ينطبق على القانون المغربي ما قيل بشأن النظرية اللاتينية للسبب. </w:t>
      </w:r>
    </w:p>
    <w:p w14:paraId="2E3B12C4" w14:textId="77777777" w:rsidR="0094067A" w:rsidRPr="008C0FB5" w:rsidRDefault="00921573" w:rsidP="00C253D0">
      <w:pPr>
        <w:pStyle w:val="a1"/>
        <w:rPr>
          <w:rFonts w:hint="cs"/>
          <w:rtl/>
        </w:rPr>
      </w:pPr>
      <w:r w:rsidRPr="008C0FB5">
        <w:rPr>
          <w:rtl/>
        </w:rPr>
        <w:br w:type="page"/>
      </w:r>
      <w:bookmarkStart w:id="93" w:name="_Toc8643685"/>
      <w:r w:rsidR="0094067A" w:rsidRPr="008C0FB5">
        <w:rPr>
          <w:rFonts w:hint="cs"/>
          <w:rtl/>
        </w:rPr>
        <w:lastRenderedPageBreak/>
        <w:t>المطلب الثالث: التقنينات العربية التي تميل إلى الخلط بين النظريتين</w:t>
      </w:r>
      <w:bookmarkEnd w:id="93"/>
    </w:p>
    <w:p w14:paraId="2B4BB136" w14:textId="77777777" w:rsidR="0094067A" w:rsidRPr="008C0FB5" w:rsidRDefault="0094067A" w:rsidP="00D04880">
      <w:pPr>
        <w:pStyle w:val="48"/>
        <w:rPr>
          <w:rFonts w:hint="cs"/>
          <w:rtl/>
        </w:rPr>
      </w:pPr>
      <w:r w:rsidRPr="008C0FB5">
        <w:rPr>
          <w:rFonts w:hint="cs"/>
          <w:rtl/>
        </w:rPr>
        <w:t>موقف القانون المدني المصري والقوانين المنبثقة منه:</w:t>
      </w:r>
    </w:p>
    <w:p w14:paraId="11DA2D73" w14:textId="77777777" w:rsidR="0094067A" w:rsidRPr="008C0FB5" w:rsidRDefault="0094067A" w:rsidP="00C35031">
      <w:pPr>
        <w:pStyle w:val="48"/>
        <w:rPr>
          <w:rFonts w:hint="cs"/>
          <w:rtl/>
        </w:rPr>
      </w:pPr>
      <w:r w:rsidRPr="008C0FB5">
        <w:rPr>
          <w:rFonts w:hint="cs"/>
          <w:rtl/>
        </w:rPr>
        <w:t xml:space="preserve">يذهب بعض </w:t>
      </w:r>
      <w:proofErr w:type="gramStart"/>
      <w:r w:rsidRPr="008C0FB5">
        <w:rPr>
          <w:rFonts w:hint="cs"/>
          <w:rtl/>
        </w:rPr>
        <w:t>الشرّاح</w:t>
      </w:r>
      <w:r w:rsidRPr="008C0FB5">
        <w:rPr>
          <w:rFonts w:cs="Saihat" w:hint="cs"/>
          <w:vertAlign w:val="superscript"/>
          <w:rtl/>
        </w:rPr>
        <w:t>(</w:t>
      </w:r>
      <w:proofErr w:type="gramEnd"/>
      <w:r w:rsidRPr="008C0FB5">
        <w:rPr>
          <w:rStyle w:val="af0"/>
          <w:rFonts w:cs="Saihat"/>
          <w:sz w:val="30"/>
          <w:rtl/>
        </w:rPr>
        <w:footnoteReference w:id="271"/>
      </w:r>
      <w:r w:rsidRPr="008C0FB5">
        <w:rPr>
          <w:rFonts w:cs="Saihat" w:hint="cs"/>
          <w:vertAlign w:val="superscript"/>
          <w:rtl/>
        </w:rPr>
        <w:t>)</w:t>
      </w:r>
      <w:r w:rsidRPr="008C0FB5">
        <w:rPr>
          <w:rFonts w:hint="cs"/>
          <w:rtl/>
        </w:rPr>
        <w:t xml:space="preserve"> الذين بحثوا في نظرية السبب ان القانون المدني المصري والقوانين الأخرى المنبثقة منه، أو المتأثرة به كالقانون المدني العراقي، والسوري، تميل إلى الأخذ بنظرية الباعث الدافع من نظرية السبب، وذلك تأثراً </w:t>
      </w:r>
      <w:r w:rsidRPr="008C0FB5">
        <w:rPr>
          <w:rFonts w:ascii="Times New Roman" w:hAnsi="Times New Roman" w:cs="Times New Roman" w:hint="cs"/>
          <w:rtl/>
        </w:rPr>
        <w:t>–</w:t>
      </w:r>
      <w:r w:rsidRPr="008C0FB5">
        <w:rPr>
          <w:rFonts w:hint="cs"/>
          <w:rtl/>
        </w:rPr>
        <w:t xml:space="preserve"> فيما يبدو </w:t>
      </w:r>
      <w:r w:rsidRPr="008C0FB5">
        <w:rPr>
          <w:rFonts w:ascii="Times New Roman" w:hAnsi="Times New Roman" w:cs="Times New Roman" w:hint="cs"/>
          <w:rtl/>
        </w:rPr>
        <w:t>–</w:t>
      </w:r>
      <w:r w:rsidRPr="008C0FB5">
        <w:rPr>
          <w:rFonts w:hint="cs"/>
          <w:rtl/>
        </w:rPr>
        <w:t xml:space="preserve"> بأحكام القضاء التي كانت تقيم وزناً للسبب بمعناه الباعث الدافع في تكوين العقد، طالما كان هذا السبب هو الدافع الرئيسي والجوهري إلى التعاقد.</w:t>
      </w:r>
    </w:p>
    <w:p w14:paraId="7A0E5D88" w14:textId="77777777" w:rsidR="0094067A" w:rsidRPr="008C0FB5" w:rsidRDefault="0094067A" w:rsidP="00C35031">
      <w:pPr>
        <w:pStyle w:val="35"/>
        <w:rPr>
          <w:rFonts w:hint="cs"/>
          <w:rtl/>
        </w:rPr>
      </w:pPr>
      <w:r w:rsidRPr="008C0FB5">
        <w:rPr>
          <w:rFonts w:hint="cs"/>
          <w:rtl/>
        </w:rPr>
        <w:t xml:space="preserve">ويستند أنصار هذا الرأي إلى المذكرة الإيضاحية للقانون المدني المصري والتي تنص في هذا الصدد على ما يلي: </w:t>
      </w:r>
    </w:p>
    <w:p w14:paraId="1427128F" w14:textId="77777777" w:rsidR="0094067A" w:rsidRPr="008C0FB5" w:rsidRDefault="0094067A" w:rsidP="00A613BA">
      <w:pPr>
        <w:pStyle w:val="afffffff1"/>
        <w:rPr>
          <w:rFonts w:hint="cs"/>
          <w:rtl/>
        </w:rPr>
      </w:pPr>
      <w:r w:rsidRPr="008C0FB5">
        <w:rPr>
          <w:rFonts w:hint="cs"/>
          <w:rtl/>
        </w:rPr>
        <w:t xml:space="preserve">يقصد بالسبب معناه الحديث، كما يمثله القضاء المصري والفرنسي في العصر الحاضر، فهو بهذه المثابة الباعث المستحث في التصرفات القانونية عامة، لا فرق في ذلك بين التبرعات </w:t>
      </w:r>
      <w:proofErr w:type="gramStart"/>
      <w:r w:rsidRPr="008C0FB5">
        <w:rPr>
          <w:rFonts w:hint="cs"/>
          <w:rtl/>
        </w:rPr>
        <w:t>والمعاوضات</w:t>
      </w:r>
      <w:r w:rsidRPr="008C0FB5">
        <w:rPr>
          <w:rFonts w:hint="cs"/>
          <w:szCs w:val="30"/>
          <w:vertAlign w:val="superscript"/>
          <w:rtl/>
        </w:rPr>
        <w:t>(</w:t>
      </w:r>
      <w:proofErr w:type="gramEnd"/>
      <w:r w:rsidRPr="008C0FB5">
        <w:rPr>
          <w:rStyle w:val="af0"/>
          <w:sz w:val="30"/>
          <w:szCs w:val="30"/>
          <w:rtl/>
        </w:rPr>
        <w:footnoteReference w:id="272"/>
      </w:r>
      <w:r w:rsidRPr="008C0FB5">
        <w:rPr>
          <w:rFonts w:hint="cs"/>
          <w:szCs w:val="30"/>
          <w:vertAlign w:val="superscript"/>
          <w:rtl/>
        </w:rPr>
        <w:t>)</w:t>
      </w:r>
      <w:r w:rsidRPr="008C0FB5">
        <w:rPr>
          <w:rFonts w:hint="cs"/>
          <w:rtl/>
        </w:rPr>
        <w:t>.</w:t>
      </w:r>
    </w:p>
    <w:p w14:paraId="39FFBE02" w14:textId="77777777" w:rsidR="0094067A" w:rsidRPr="008C0FB5" w:rsidRDefault="0094067A" w:rsidP="00C35031">
      <w:pPr>
        <w:pStyle w:val="35"/>
        <w:rPr>
          <w:rFonts w:hint="cs"/>
          <w:rtl/>
        </w:rPr>
      </w:pPr>
      <w:r w:rsidRPr="008C0FB5">
        <w:rPr>
          <w:rFonts w:hint="cs"/>
          <w:rtl/>
        </w:rPr>
        <w:t xml:space="preserve">ويسود رأي آخر بين </w:t>
      </w:r>
      <w:proofErr w:type="gramStart"/>
      <w:r w:rsidRPr="008C0FB5">
        <w:rPr>
          <w:rFonts w:hint="cs"/>
          <w:rtl/>
        </w:rPr>
        <w:t>الشرّاح</w:t>
      </w:r>
      <w:r w:rsidRPr="008C0FB5">
        <w:rPr>
          <w:rFonts w:cs="Saihat" w:hint="cs"/>
          <w:vertAlign w:val="superscript"/>
          <w:rtl/>
        </w:rPr>
        <w:t>(</w:t>
      </w:r>
      <w:proofErr w:type="gramEnd"/>
      <w:r w:rsidRPr="008C0FB5">
        <w:rPr>
          <w:rStyle w:val="af0"/>
          <w:rFonts w:cs="Saihat"/>
          <w:sz w:val="30"/>
          <w:rtl/>
        </w:rPr>
        <w:footnoteReference w:id="273"/>
      </w:r>
      <w:r w:rsidRPr="008C0FB5">
        <w:rPr>
          <w:rFonts w:cs="Saihat" w:hint="cs"/>
          <w:vertAlign w:val="superscript"/>
          <w:rtl/>
        </w:rPr>
        <w:t>)</w:t>
      </w:r>
      <w:r w:rsidRPr="008C0FB5">
        <w:rPr>
          <w:rFonts w:hint="cs"/>
          <w:rtl/>
        </w:rPr>
        <w:t xml:space="preserve"> المصريين في اعتبار القانون المذكور والقوانين الأخرى المنبثقة عنه: تجنح إلى الخلط بين النظريتين الحديثة والتقليدية، في تفسير السبب الدافع إلى الالتزام فيما يتعلق بمشروعية هذا السبب</w:t>
      </w:r>
      <w:r w:rsidRPr="008C0FB5">
        <w:rPr>
          <w:rFonts w:cs="Saihat" w:hint="cs"/>
          <w:vertAlign w:val="superscript"/>
          <w:rtl/>
        </w:rPr>
        <w:t>(</w:t>
      </w:r>
      <w:r w:rsidRPr="008C0FB5">
        <w:rPr>
          <w:rStyle w:val="af0"/>
          <w:rFonts w:cs="Saihat"/>
          <w:sz w:val="30"/>
          <w:rtl/>
        </w:rPr>
        <w:footnoteReference w:id="274"/>
      </w:r>
      <w:r w:rsidRPr="008C0FB5">
        <w:rPr>
          <w:rFonts w:cs="Saihat" w:hint="cs"/>
          <w:vertAlign w:val="superscript"/>
          <w:rtl/>
        </w:rPr>
        <w:t>)</w:t>
      </w:r>
      <w:r w:rsidRPr="008C0FB5">
        <w:rPr>
          <w:rFonts w:hint="cs"/>
          <w:rtl/>
        </w:rPr>
        <w:t xml:space="preserve">، ولعل ظاهر هذه القوانين يؤيد وجهة النظر الأخيرة في نسبة الخلط بين الاتجاهين إلى القوانين المذكورة. </w:t>
      </w:r>
    </w:p>
    <w:p w14:paraId="23292633" w14:textId="77777777" w:rsidR="0094067A" w:rsidRPr="008C0FB5" w:rsidRDefault="0094067A" w:rsidP="00C35031">
      <w:pPr>
        <w:pStyle w:val="35"/>
        <w:rPr>
          <w:rFonts w:hint="cs"/>
          <w:rtl/>
        </w:rPr>
      </w:pPr>
      <w:r w:rsidRPr="008C0FB5">
        <w:rPr>
          <w:rFonts w:hint="cs"/>
          <w:rtl/>
        </w:rPr>
        <w:t xml:space="preserve">إذ تنص المادة 136 من القانون المدني </w:t>
      </w:r>
      <w:proofErr w:type="gramStart"/>
      <w:r w:rsidRPr="008C0FB5">
        <w:rPr>
          <w:rFonts w:hint="cs"/>
          <w:rtl/>
        </w:rPr>
        <w:t>المصري</w:t>
      </w:r>
      <w:r w:rsidRPr="008C0FB5">
        <w:rPr>
          <w:rFonts w:cs="Saihat" w:hint="cs"/>
          <w:vertAlign w:val="superscript"/>
          <w:rtl/>
        </w:rPr>
        <w:t>(</w:t>
      </w:r>
      <w:proofErr w:type="gramEnd"/>
      <w:r w:rsidRPr="008C0FB5">
        <w:rPr>
          <w:rStyle w:val="af0"/>
          <w:rFonts w:cs="Saihat"/>
          <w:sz w:val="30"/>
          <w:rtl/>
        </w:rPr>
        <w:footnoteReference w:id="275"/>
      </w:r>
      <w:r w:rsidRPr="008C0FB5">
        <w:rPr>
          <w:rFonts w:cs="Saihat" w:hint="cs"/>
          <w:vertAlign w:val="superscript"/>
          <w:rtl/>
        </w:rPr>
        <w:t>)</w:t>
      </w:r>
      <w:r w:rsidRPr="008C0FB5">
        <w:rPr>
          <w:rFonts w:hint="cs"/>
          <w:rtl/>
        </w:rPr>
        <w:t>، ومثلها المادة 137 من القانون المدني السوري</w:t>
      </w:r>
      <w:r w:rsidRPr="008C0FB5">
        <w:rPr>
          <w:rFonts w:cs="Saihat" w:hint="cs"/>
          <w:vertAlign w:val="superscript"/>
          <w:rtl/>
        </w:rPr>
        <w:t>(</w:t>
      </w:r>
      <w:r w:rsidRPr="008C0FB5">
        <w:rPr>
          <w:rStyle w:val="af0"/>
          <w:rFonts w:cs="Saihat"/>
          <w:sz w:val="30"/>
          <w:rtl/>
        </w:rPr>
        <w:footnoteReference w:id="276"/>
      </w:r>
      <w:r w:rsidRPr="008C0FB5">
        <w:rPr>
          <w:rFonts w:cs="Saihat" w:hint="cs"/>
          <w:vertAlign w:val="superscript"/>
          <w:rtl/>
        </w:rPr>
        <w:t>)</w:t>
      </w:r>
      <w:r w:rsidRPr="008C0FB5">
        <w:rPr>
          <w:rFonts w:hint="cs"/>
          <w:rtl/>
        </w:rPr>
        <w:t xml:space="preserve"> على انه </w:t>
      </w:r>
    </w:p>
    <w:p w14:paraId="7CAB3356" w14:textId="77777777" w:rsidR="0094067A" w:rsidRPr="008C0FB5" w:rsidRDefault="0094067A" w:rsidP="00A613BA">
      <w:pPr>
        <w:pStyle w:val="afffffff1"/>
        <w:rPr>
          <w:rFonts w:hint="cs"/>
          <w:rtl/>
        </w:rPr>
      </w:pPr>
      <w:r w:rsidRPr="008C0FB5">
        <w:rPr>
          <w:rFonts w:hint="cs"/>
          <w:rtl/>
        </w:rPr>
        <w:t xml:space="preserve">إذا لم يكن للالتزام سبب أو كان سببه مخالفاً للنظام العام والآداب كان العقد </w:t>
      </w:r>
      <w:proofErr w:type="gramStart"/>
      <w:r w:rsidRPr="008C0FB5">
        <w:rPr>
          <w:rFonts w:hint="cs"/>
          <w:rtl/>
        </w:rPr>
        <w:t>باطلاً</w:t>
      </w:r>
      <w:r w:rsidRPr="008C0FB5">
        <w:rPr>
          <w:rFonts w:hint="cs"/>
          <w:szCs w:val="30"/>
          <w:vertAlign w:val="superscript"/>
          <w:rtl/>
        </w:rPr>
        <w:t>(</w:t>
      </w:r>
      <w:proofErr w:type="gramEnd"/>
      <w:r w:rsidRPr="008C0FB5">
        <w:rPr>
          <w:rStyle w:val="af0"/>
          <w:sz w:val="30"/>
          <w:szCs w:val="30"/>
          <w:rtl/>
        </w:rPr>
        <w:footnoteReference w:id="277"/>
      </w:r>
      <w:r w:rsidRPr="008C0FB5">
        <w:rPr>
          <w:rFonts w:hint="cs"/>
          <w:szCs w:val="30"/>
          <w:vertAlign w:val="superscript"/>
          <w:rtl/>
        </w:rPr>
        <w:t>)</w:t>
      </w:r>
      <w:r w:rsidRPr="008C0FB5">
        <w:rPr>
          <w:rFonts w:hint="cs"/>
          <w:rtl/>
        </w:rPr>
        <w:t>.</w:t>
      </w:r>
    </w:p>
    <w:p w14:paraId="4EDD6F04" w14:textId="77777777" w:rsidR="0094067A" w:rsidRPr="008C0FB5" w:rsidRDefault="0094067A" w:rsidP="00C35031">
      <w:pPr>
        <w:pStyle w:val="35"/>
        <w:rPr>
          <w:rFonts w:hint="cs"/>
          <w:rtl/>
        </w:rPr>
      </w:pPr>
      <w:r w:rsidRPr="008C0FB5">
        <w:rPr>
          <w:rFonts w:hint="cs"/>
          <w:rtl/>
        </w:rPr>
        <w:t xml:space="preserve">وبهذا النحو تقرر الفقرة الأولى من المادة (132) من القانون المدني </w:t>
      </w:r>
      <w:proofErr w:type="gramStart"/>
      <w:r w:rsidRPr="008C0FB5">
        <w:rPr>
          <w:rFonts w:hint="cs"/>
          <w:rtl/>
        </w:rPr>
        <w:t>العراقي</w:t>
      </w:r>
      <w:r w:rsidRPr="008C0FB5">
        <w:rPr>
          <w:rFonts w:cs="Saihat" w:hint="cs"/>
          <w:vertAlign w:val="superscript"/>
          <w:rtl/>
        </w:rPr>
        <w:t>(</w:t>
      </w:r>
      <w:proofErr w:type="gramEnd"/>
      <w:r w:rsidRPr="008C0FB5">
        <w:rPr>
          <w:rStyle w:val="af0"/>
          <w:rFonts w:cs="Saihat"/>
          <w:sz w:val="30"/>
          <w:rtl/>
        </w:rPr>
        <w:footnoteReference w:id="278"/>
      </w:r>
      <w:r w:rsidRPr="008C0FB5">
        <w:rPr>
          <w:rFonts w:cs="Saihat" w:hint="cs"/>
          <w:vertAlign w:val="superscript"/>
          <w:rtl/>
        </w:rPr>
        <w:t>)</w:t>
      </w:r>
      <w:r w:rsidRPr="008C0FB5">
        <w:rPr>
          <w:rFonts w:hint="cs"/>
          <w:rtl/>
        </w:rPr>
        <w:t xml:space="preserve"> بقولها: </w:t>
      </w:r>
    </w:p>
    <w:p w14:paraId="1FF8C133" w14:textId="77777777" w:rsidR="0094067A" w:rsidRPr="008C0FB5" w:rsidRDefault="0094067A" w:rsidP="00A613BA">
      <w:pPr>
        <w:pStyle w:val="afffffff1"/>
        <w:rPr>
          <w:rFonts w:hint="cs"/>
          <w:rtl/>
        </w:rPr>
      </w:pPr>
      <w:r w:rsidRPr="008C0FB5">
        <w:rPr>
          <w:rFonts w:hint="cs"/>
          <w:rtl/>
        </w:rPr>
        <w:t>يكون العقد باطلاً إذا التزم المتعاقد دون سبب، أو لسبب ممنوع قانوناً ومخالفاً للنظام العام وللآداب</w:t>
      </w:r>
      <w:r w:rsidR="003E1E9A" w:rsidRPr="008C0FB5">
        <w:rPr>
          <w:rFonts w:cs="hashemi" w:hint="cs"/>
          <w:rtl/>
          <w:lang w:bidi="ar-IQ"/>
        </w:rPr>
        <w:t>.</w:t>
      </w:r>
    </w:p>
    <w:p w14:paraId="251885B7" w14:textId="77777777" w:rsidR="0094067A" w:rsidRPr="008C0FB5" w:rsidRDefault="0094067A" w:rsidP="00C35031">
      <w:pPr>
        <w:pStyle w:val="35"/>
        <w:rPr>
          <w:rFonts w:hint="cs"/>
          <w:rtl/>
        </w:rPr>
      </w:pPr>
      <w:r w:rsidRPr="008C0FB5">
        <w:rPr>
          <w:rFonts w:hint="cs"/>
          <w:rtl/>
        </w:rPr>
        <w:t xml:space="preserve">فان تحديد بطلان العقد في هذين النصين بانعدام السبب (أو عدم وجوده) من جهة، وبتحريم القانون له أو لمخالفته للنظام العام والآداب من جهة أخرى، قد يسوغ لنا </w:t>
      </w:r>
      <w:r w:rsidRPr="008C0FB5">
        <w:rPr>
          <w:rFonts w:ascii="Times New Roman" w:hAnsi="Times New Roman" w:cs="Times New Roman" w:hint="cs"/>
          <w:rtl/>
        </w:rPr>
        <w:t>–</w:t>
      </w:r>
      <w:r w:rsidRPr="008C0FB5">
        <w:rPr>
          <w:rFonts w:hint="cs"/>
          <w:rtl/>
        </w:rPr>
        <w:t xml:space="preserve"> كما يسوغ للآخرين </w:t>
      </w:r>
      <w:r w:rsidRPr="008C0FB5">
        <w:rPr>
          <w:rFonts w:ascii="Times New Roman" w:hAnsi="Times New Roman" w:cs="Times New Roman" w:hint="cs"/>
          <w:rtl/>
        </w:rPr>
        <w:t>–</w:t>
      </w:r>
      <w:r w:rsidRPr="008C0FB5">
        <w:rPr>
          <w:rFonts w:hint="cs"/>
          <w:rtl/>
        </w:rPr>
        <w:t xml:space="preserve"> ان تعبير هذه النصوص يميل إلى الجمع بين النظريتين في تفسير السبب، ذلك انه شرط </w:t>
      </w:r>
      <w:r w:rsidRPr="008C0FB5">
        <w:rPr>
          <w:rFonts w:hint="cs"/>
          <w:rtl/>
        </w:rPr>
        <w:lastRenderedPageBreak/>
        <w:t xml:space="preserve">الوجود هو الشرط الرئيسي والجوهري في النظرية التقليدية، والذي لا يمكن الاستغناء فيها عنه، وان شرط مشروعية السبب هو في المقابل العنصر الأساسي في النظرية الحديثة كما سبق </w:t>
      </w:r>
      <w:r w:rsidRPr="008C0FB5">
        <w:rPr>
          <w:rFonts w:ascii="Times New Roman" w:hAnsi="Times New Roman" w:cs="Times New Roman" w:hint="cs"/>
          <w:rtl/>
        </w:rPr>
        <w:t>–</w:t>
      </w:r>
      <w:r w:rsidRPr="008C0FB5">
        <w:rPr>
          <w:rFonts w:hint="cs"/>
          <w:rtl/>
        </w:rPr>
        <w:t xml:space="preserve"> ان أوضحنا ذلك </w:t>
      </w:r>
      <w:r w:rsidRPr="008C0FB5">
        <w:rPr>
          <w:rFonts w:ascii="Times New Roman" w:hAnsi="Times New Roman" w:cs="Times New Roman" w:hint="cs"/>
          <w:rtl/>
        </w:rPr>
        <w:t>–</w:t>
      </w:r>
      <w:r w:rsidRPr="008C0FB5">
        <w:rPr>
          <w:rFonts w:hint="cs"/>
          <w:rtl/>
        </w:rPr>
        <w:t xml:space="preserve"> لدى وقوفنا على وجهة النظر الخاصة بالقانون الفرنسي.</w:t>
      </w:r>
    </w:p>
    <w:p w14:paraId="38CE7C32" w14:textId="77777777" w:rsidR="0094067A" w:rsidRPr="008C0FB5" w:rsidRDefault="0094067A" w:rsidP="00C35031">
      <w:pPr>
        <w:pStyle w:val="35"/>
        <w:rPr>
          <w:rFonts w:hint="cs"/>
          <w:rtl/>
        </w:rPr>
      </w:pPr>
      <w:r w:rsidRPr="008C0FB5">
        <w:rPr>
          <w:rFonts w:hint="cs"/>
          <w:rtl/>
        </w:rPr>
        <w:t xml:space="preserve">ولكن مع توجهنا لهذا النوع من التحليل المؤيد لوجهة النظر المذكورة التي تحمل القانون المصري وسائر القوانين العربية الأخرى المنبثقة عنه أو المتأثرة به فكرة الخلط بين الاتجاهين فنحن نرى ان مقصود ومرمى واضعي هذه القوانين، وبخاصة المصري منها باعتباره هو الأصل، يمكن أن يكون بعيداً عن ذلك التحليل الذي عرفناه، وذلك لأنهم صرحوا وبشكل صريح ان القانون المدني المصري والقوانين المنبثقة عنه </w:t>
      </w:r>
      <w:r w:rsidRPr="008C0FB5">
        <w:rPr>
          <w:rFonts w:ascii="Times New Roman" w:hAnsi="Times New Roman" w:cs="Times New Roman" w:hint="cs"/>
          <w:rtl/>
        </w:rPr>
        <w:t>–</w:t>
      </w:r>
      <w:r w:rsidRPr="008C0FB5">
        <w:rPr>
          <w:rFonts w:hint="cs"/>
          <w:rtl/>
        </w:rPr>
        <w:t xml:space="preserve"> كالعراقي والسوري </w:t>
      </w:r>
      <w:r w:rsidRPr="008C0FB5">
        <w:rPr>
          <w:rFonts w:ascii="Times New Roman" w:hAnsi="Times New Roman" w:cs="Times New Roman" w:hint="cs"/>
          <w:rtl/>
        </w:rPr>
        <w:t>–</w:t>
      </w:r>
      <w:r w:rsidRPr="008C0FB5">
        <w:rPr>
          <w:rFonts w:hint="cs"/>
          <w:rtl/>
        </w:rPr>
        <w:t xml:space="preserve"> لم تأخذ بالنظرية التقليدية، وإنما ذهبوا إلى الاعتداد بالباعث الدافع للتعاقد فقط وإن كان الواقع غير ذلك، وبهذا يمكن صرف هذه النصوص المذكورة على ظاهرها في الميل إلى الاتجاهين.</w:t>
      </w:r>
    </w:p>
    <w:p w14:paraId="647F6546" w14:textId="77777777" w:rsidR="0094067A" w:rsidRPr="008C0FB5" w:rsidRDefault="0094067A" w:rsidP="00C35031">
      <w:pPr>
        <w:pStyle w:val="35"/>
        <w:rPr>
          <w:rFonts w:hint="cs"/>
          <w:rtl/>
        </w:rPr>
      </w:pPr>
      <w:r w:rsidRPr="008C0FB5">
        <w:rPr>
          <w:rFonts w:hint="cs"/>
          <w:rtl/>
        </w:rPr>
        <w:t xml:space="preserve">ومما يؤيد ذلك ان المذكرة الإيضاحية للمشروع التمهيدي في القانون المصري قد أشارت </w:t>
      </w:r>
      <w:proofErr w:type="gramStart"/>
      <w:r w:rsidRPr="008C0FB5">
        <w:rPr>
          <w:rFonts w:hint="cs"/>
          <w:rtl/>
        </w:rPr>
        <w:t>صراحة</w:t>
      </w:r>
      <w:r w:rsidRPr="008C0FB5">
        <w:rPr>
          <w:rFonts w:cs="Saihat" w:hint="cs"/>
          <w:vertAlign w:val="superscript"/>
          <w:rtl/>
        </w:rPr>
        <w:t>(</w:t>
      </w:r>
      <w:proofErr w:type="gramEnd"/>
      <w:r w:rsidRPr="008C0FB5">
        <w:rPr>
          <w:rStyle w:val="af0"/>
          <w:rFonts w:cs="Saihat"/>
          <w:sz w:val="30"/>
          <w:rtl/>
        </w:rPr>
        <w:footnoteReference w:id="279"/>
      </w:r>
      <w:r w:rsidRPr="008C0FB5">
        <w:rPr>
          <w:rFonts w:cs="Saihat" w:hint="cs"/>
          <w:vertAlign w:val="superscript"/>
          <w:rtl/>
        </w:rPr>
        <w:t>)</w:t>
      </w:r>
      <w:r w:rsidRPr="008C0FB5">
        <w:rPr>
          <w:rFonts w:hint="cs"/>
          <w:rtl/>
        </w:rPr>
        <w:t xml:space="preserve"> ان هذا القانون قد تأثر بنوع خاص بتقاليد وأحكام القضاء المصري والفرنسي، ومعلوم ان هذين القضاءين </w:t>
      </w:r>
      <w:r w:rsidRPr="008C0FB5">
        <w:rPr>
          <w:rFonts w:ascii="Times New Roman" w:hAnsi="Times New Roman" w:cs="Times New Roman" w:hint="cs"/>
          <w:rtl/>
        </w:rPr>
        <w:t>–</w:t>
      </w:r>
      <w:r w:rsidRPr="008C0FB5">
        <w:rPr>
          <w:rFonts w:hint="cs"/>
          <w:rtl/>
        </w:rPr>
        <w:t xml:space="preserve"> كما سبق أن لاحظنا </w:t>
      </w:r>
      <w:r w:rsidRPr="008C0FB5">
        <w:rPr>
          <w:rFonts w:ascii="Times New Roman" w:hAnsi="Times New Roman" w:cs="Times New Roman" w:hint="cs"/>
          <w:rtl/>
        </w:rPr>
        <w:t>–</w:t>
      </w:r>
      <w:r w:rsidRPr="008C0FB5">
        <w:rPr>
          <w:rFonts w:hint="cs"/>
          <w:rtl/>
        </w:rPr>
        <w:t xml:space="preserve"> يميلان إلى وجهة النظر الحديثة في تفسير السبب، ولعل التطبيقات القضائية الحديثة الصادرة بهذا الشأن شاهدة على ذلك.</w:t>
      </w:r>
    </w:p>
    <w:p w14:paraId="065D29D7" w14:textId="77777777" w:rsidR="0094067A" w:rsidRPr="008C0FB5" w:rsidRDefault="0094067A" w:rsidP="00C35031">
      <w:pPr>
        <w:pStyle w:val="35"/>
        <w:rPr>
          <w:rFonts w:hint="cs"/>
          <w:rtl/>
        </w:rPr>
      </w:pPr>
      <w:r w:rsidRPr="008C0FB5">
        <w:rPr>
          <w:rFonts w:hint="cs"/>
          <w:rtl/>
        </w:rPr>
        <w:t>ومما تقدم يتبين لنا ان القانون المدني المصري ومن اقتفى مسلكه قد أخذ بالنظريتين معاً، وذلك لصراحة النصوص القانونية فيها رغم قصد واضعيها لأخذ بالنظرية الحديثة فقط، إلا ان النصوص جاءت بغير ذلك، ولا مجال للاجتهاد فيها ذلك لصراحتها بالخلط بين النظريتين.</w:t>
      </w:r>
    </w:p>
    <w:p w14:paraId="3F1AD6CD" w14:textId="77777777" w:rsidR="0094067A" w:rsidRPr="008C0FB5" w:rsidRDefault="0094067A" w:rsidP="00C35031">
      <w:pPr>
        <w:pStyle w:val="35"/>
        <w:rPr>
          <w:rFonts w:hint="cs"/>
          <w:rtl/>
        </w:rPr>
      </w:pPr>
      <w:r w:rsidRPr="008C0FB5">
        <w:rPr>
          <w:rFonts w:hint="cs"/>
          <w:rtl/>
        </w:rPr>
        <w:t xml:space="preserve">وهذا ما فعله القضاء المصري أيضاً إذ ذهب إلى الاعتداد بالسببين القصدي والباعث والعمل بهما بشكل مزدوج، وهذا هو مذهب القضاء الفرنسي </w:t>
      </w:r>
      <w:r w:rsidRPr="008C0FB5">
        <w:rPr>
          <w:rFonts w:ascii="Times New Roman" w:hAnsi="Times New Roman" w:cs="Times New Roman" w:hint="cs"/>
          <w:rtl/>
        </w:rPr>
        <w:t>–</w:t>
      </w:r>
      <w:r w:rsidRPr="008C0FB5">
        <w:rPr>
          <w:rFonts w:hint="cs"/>
          <w:rtl/>
        </w:rPr>
        <w:t xml:space="preserve"> كما مر بنا </w:t>
      </w:r>
      <w:r w:rsidRPr="008C0FB5">
        <w:rPr>
          <w:rFonts w:ascii="Times New Roman" w:hAnsi="Times New Roman" w:cs="Times New Roman" w:hint="cs"/>
          <w:rtl/>
        </w:rPr>
        <w:t>–</w:t>
      </w:r>
      <w:r w:rsidRPr="008C0FB5">
        <w:rPr>
          <w:rFonts w:hint="cs"/>
          <w:rtl/>
        </w:rPr>
        <w:t xml:space="preserve"> بل ان شدة متابعته للقضاء الفرنسي قضى بمشروعية تبرع الخليل لخليلته إذا كان بقصد تعويضها عن فترة المعاشرة، لا بقصد استمرار العلاقة غير المشروعة بينهما</w:t>
      </w:r>
      <w:r w:rsidRPr="008C0FB5">
        <w:rPr>
          <w:rFonts w:cs="Saihat" w:hint="cs"/>
          <w:vertAlign w:val="superscript"/>
          <w:rtl/>
        </w:rPr>
        <w:t>(</w:t>
      </w:r>
      <w:r w:rsidRPr="008C0FB5">
        <w:rPr>
          <w:rStyle w:val="af0"/>
          <w:rFonts w:cs="Saihat"/>
          <w:sz w:val="30"/>
          <w:rtl/>
        </w:rPr>
        <w:footnoteReference w:id="280"/>
      </w:r>
      <w:r w:rsidRPr="008C0FB5">
        <w:rPr>
          <w:rFonts w:cs="Saihat" w:hint="cs"/>
          <w:vertAlign w:val="superscript"/>
          <w:rtl/>
        </w:rPr>
        <w:t>)</w:t>
      </w:r>
      <w:r w:rsidRPr="008C0FB5">
        <w:rPr>
          <w:rFonts w:hint="cs"/>
          <w:rtl/>
        </w:rPr>
        <w:t>، ومن تطبيقه انه قضى ببطلان عقد القرض الذي يعلم المقرض فيه ان المقترض يريد بمبلغ القرض التمكن من المقامرة</w:t>
      </w:r>
      <w:r w:rsidRPr="008C0FB5">
        <w:rPr>
          <w:rFonts w:cs="Saihat" w:hint="cs"/>
          <w:vertAlign w:val="superscript"/>
          <w:rtl/>
        </w:rPr>
        <w:t>(</w:t>
      </w:r>
      <w:r w:rsidRPr="008C0FB5">
        <w:rPr>
          <w:rStyle w:val="af0"/>
          <w:rFonts w:cs="Saihat"/>
          <w:sz w:val="30"/>
          <w:rtl/>
        </w:rPr>
        <w:footnoteReference w:id="281"/>
      </w:r>
      <w:r w:rsidRPr="008C0FB5">
        <w:rPr>
          <w:rFonts w:cs="Saihat" w:hint="cs"/>
          <w:vertAlign w:val="superscript"/>
          <w:rtl/>
        </w:rPr>
        <w:t>)</w:t>
      </w:r>
      <w:r w:rsidRPr="008C0FB5">
        <w:rPr>
          <w:rFonts w:hint="cs"/>
          <w:rtl/>
        </w:rPr>
        <w:t>، وقضى كذلك بأن التوكيل المعطى للسمسار للقيام بعقد صفقة يقصد بها المضاربة في البورصة عقد باطل لعدم مشروعية السبب</w:t>
      </w:r>
      <w:r w:rsidRPr="008C0FB5">
        <w:rPr>
          <w:rFonts w:cs="Saihat" w:hint="cs"/>
          <w:vertAlign w:val="superscript"/>
          <w:rtl/>
        </w:rPr>
        <w:t>(</w:t>
      </w:r>
      <w:r w:rsidRPr="008C0FB5">
        <w:rPr>
          <w:rStyle w:val="af0"/>
          <w:rFonts w:cs="Saihat"/>
          <w:sz w:val="30"/>
          <w:rtl/>
        </w:rPr>
        <w:footnoteReference w:id="282"/>
      </w:r>
      <w:r w:rsidRPr="008C0FB5">
        <w:rPr>
          <w:rFonts w:cs="Saihat" w:hint="cs"/>
          <w:vertAlign w:val="superscript"/>
          <w:rtl/>
        </w:rPr>
        <w:t>)</w:t>
      </w:r>
      <w:r w:rsidRPr="008C0FB5">
        <w:rPr>
          <w:rFonts w:hint="cs"/>
          <w:rtl/>
        </w:rPr>
        <w:t>.</w:t>
      </w:r>
    </w:p>
    <w:p w14:paraId="03AF4B12" w14:textId="77777777" w:rsidR="0094067A" w:rsidRPr="008C0FB5" w:rsidRDefault="0094067A" w:rsidP="00C35031">
      <w:pPr>
        <w:pStyle w:val="35"/>
        <w:rPr>
          <w:rFonts w:hint="cs"/>
          <w:rtl/>
        </w:rPr>
      </w:pPr>
      <w:r w:rsidRPr="008C0FB5">
        <w:rPr>
          <w:rFonts w:hint="cs"/>
          <w:rtl/>
        </w:rPr>
        <w:t xml:space="preserve">ولم يخرج القضاء العراقي عن ذلك إذ جاء في قرار لمحكمة التمييز انه </w:t>
      </w:r>
    </w:p>
    <w:p w14:paraId="76DFA7C9" w14:textId="77777777" w:rsidR="0094067A" w:rsidRPr="008C0FB5" w:rsidRDefault="0094067A" w:rsidP="00A613BA">
      <w:pPr>
        <w:pStyle w:val="afffffff1"/>
        <w:rPr>
          <w:rFonts w:hint="cs"/>
          <w:rtl/>
          <w:lang w:bidi="fa-IR"/>
        </w:rPr>
      </w:pPr>
      <w:r w:rsidRPr="008C0FB5">
        <w:rPr>
          <w:rFonts w:hint="cs"/>
          <w:rtl/>
        </w:rPr>
        <w:t>الصحيح في القانون ان السبب هو الباعث على التعاقد، ولا يعتد بالباعث إلا إذا كان متفقاً عليه بين المتعاقدين فإذا كان الباعث الذي دفع المشتري إلى التعاقد غير مشروع ولا يعلمه البائع فلا يعتد به ويكون العقد صحيحاً اعتباراً بالإرادة الظاهرة، فلا يعتد بالباعث الذي دقع الشركة المميزة إلى التعاقد مادام هذا الباعث مجهولاً من قبل الشركة البائعة وإلا استطاع كل متعاقد أن يتخلص من التزامه بدعوى الباعث له على التعاقد وهو أمر مستكن في خفايا الضمير</w:t>
      </w:r>
      <w:proofErr w:type="gramStart"/>
      <w:r w:rsidRPr="008C0FB5">
        <w:rPr>
          <w:rFonts w:hint="cs"/>
          <w:rtl/>
        </w:rPr>
        <w:t>...</w:t>
      </w:r>
      <w:r w:rsidRPr="008C0FB5">
        <w:rPr>
          <w:rFonts w:hint="cs"/>
          <w:szCs w:val="30"/>
          <w:vertAlign w:val="superscript"/>
          <w:rtl/>
        </w:rPr>
        <w:t>(</w:t>
      </w:r>
      <w:proofErr w:type="gramEnd"/>
      <w:r w:rsidRPr="008C0FB5">
        <w:rPr>
          <w:rStyle w:val="af0"/>
          <w:sz w:val="30"/>
          <w:szCs w:val="30"/>
          <w:rtl/>
        </w:rPr>
        <w:footnoteReference w:id="283"/>
      </w:r>
      <w:r w:rsidRPr="008C0FB5">
        <w:rPr>
          <w:rFonts w:hint="cs"/>
          <w:szCs w:val="30"/>
          <w:vertAlign w:val="superscript"/>
          <w:rtl/>
        </w:rPr>
        <w:t>)</w:t>
      </w:r>
    </w:p>
    <w:p w14:paraId="7D34B756" w14:textId="77777777" w:rsidR="0094067A" w:rsidRPr="008C0FB5" w:rsidRDefault="0094067A" w:rsidP="00C35031">
      <w:pPr>
        <w:pStyle w:val="35"/>
        <w:rPr>
          <w:rFonts w:hint="cs"/>
          <w:rtl/>
        </w:rPr>
      </w:pPr>
      <w:r w:rsidRPr="008C0FB5">
        <w:rPr>
          <w:rFonts w:hint="cs"/>
          <w:rtl/>
        </w:rPr>
        <w:lastRenderedPageBreak/>
        <w:t>وهو بموقفه هذا قد انتهج نهج القضاء المصري الذي تبع بدوره القضاء الفرنسي الذي أوجد نظرية الباعث نتيجة لقصور أحكام النظرية التقليدية فأكملها بنظرية الباعث.</w:t>
      </w:r>
    </w:p>
    <w:p w14:paraId="6A6A5F0B" w14:textId="77777777" w:rsidR="0094067A" w:rsidRPr="008C0FB5" w:rsidRDefault="0094067A" w:rsidP="00D04880">
      <w:pPr>
        <w:pStyle w:val="48"/>
        <w:rPr>
          <w:rFonts w:hint="cs"/>
          <w:b/>
          <w:bCs/>
          <w:rtl/>
        </w:rPr>
      </w:pPr>
      <w:r w:rsidRPr="008C0FB5">
        <w:rPr>
          <w:rFonts w:hint="cs"/>
          <w:b/>
          <w:bCs/>
          <w:rtl/>
        </w:rPr>
        <w:t>موقف القانون المدني اللبناني والأردني:</w:t>
      </w:r>
    </w:p>
    <w:p w14:paraId="0DCD0C21" w14:textId="77777777" w:rsidR="0094067A" w:rsidRPr="008C0FB5" w:rsidRDefault="0094067A" w:rsidP="00C35031">
      <w:pPr>
        <w:pStyle w:val="48"/>
        <w:rPr>
          <w:rFonts w:hint="cs"/>
          <w:rtl/>
        </w:rPr>
      </w:pPr>
      <w:r w:rsidRPr="008C0FB5">
        <w:rPr>
          <w:rFonts w:hint="cs"/>
          <w:rtl/>
        </w:rPr>
        <w:t xml:space="preserve">ولأن كانت القوانين العربية المذكورة لم تمط اللثام تماماً عن فكرتها في نظرية السبب الأمر اذلي سمح للبعض القول بأن النظرية الحديثة هي السائدة فيها. فان القانون المدني اللبناني </w:t>
      </w:r>
      <w:proofErr w:type="gramStart"/>
      <w:r w:rsidRPr="008C0FB5">
        <w:rPr>
          <w:rFonts w:hint="cs"/>
          <w:rtl/>
        </w:rPr>
        <w:t>والأردني</w:t>
      </w:r>
      <w:r w:rsidRPr="008C0FB5">
        <w:rPr>
          <w:rFonts w:cs="Saihat" w:hint="cs"/>
          <w:vertAlign w:val="superscript"/>
          <w:rtl/>
        </w:rPr>
        <w:t>(</w:t>
      </w:r>
      <w:proofErr w:type="gramEnd"/>
      <w:r w:rsidRPr="008C0FB5">
        <w:rPr>
          <w:rStyle w:val="af0"/>
          <w:rFonts w:cs="Saihat"/>
          <w:sz w:val="30"/>
          <w:rtl/>
        </w:rPr>
        <w:footnoteReference w:id="284"/>
      </w:r>
      <w:r w:rsidRPr="008C0FB5">
        <w:rPr>
          <w:rFonts w:cs="Saihat" w:hint="cs"/>
          <w:vertAlign w:val="superscript"/>
          <w:rtl/>
        </w:rPr>
        <w:t>)</w:t>
      </w:r>
      <w:r w:rsidRPr="008C0FB5">
        <w:rPr>
          <w:rFonts w:hint="cs"/>
          <w:rtl/>
        </w:rPr>
        <w:t xml:space="preserve"> قد حسما موقفهما من هذه الفكرة ونصا صراحة على الأخذ بالنظرية التقليدية إضافة إلى النظرية الحديثة في السبب.   </w:t>
      </w:r>
    </w:p>
    <w:p w14:paraId="0E570D62" w14:textId="77777777" w:rsidR="0094067A" w:rsidRPr="008C0FB5" w:rsidRDefault="0094067A" w:rsidP="00C35031">
      <w:pPr>
        <w:pStyle w:val="35"/>
        <w:rPr>
          <w:rFonts w:hint="cs"/>
          <w:rtl/>
        </w:rPr>
      </w:pPr>
      <w:r w:rsidRPr="008C0FB5">
        <w:rPr>
          <w:rFonts w:hint="cs"/>
          <w:rtl/>
        </w:rPr>
        <w:t xml:space="preserve">فقد نصت المادة 195 من قانون الموجبات والعقود </w:t>
      </w:r>
      <w:proofErr w:type="gramStart"/>
      <w:r w:rsidRPr="008C0FB5">
        <w:rPr>
          <w:rFonts w:hint="cs"/>
          <w:rtl/>
        </w:rPr>
        <w:t>اللبناني</w:t>
      </w:r>
      <w:r w:rsidRPr="008C0FB5">
        <w:rPr>
          <w:rFonts w:cs="Saihat" w:hint="cs"/>
          <w:vertAlign w:val="superscript"/>
          <w:rtl/>
        </w:rPr>
        <w:t>(</w:t>
      </w:r>
      <w:proofErr w:type="gramEnd"/>
      <w:r w:rsidRPr="008C0FB5">
        <w:rPr>
          <w:rStyle w:val="af0"/>
          <w:rFonts w:cs="Saihat"/>
          <w:sz w:val="30"/>
          <w:rtl/>
        </w:rPr>
        <w:footnoteReference w:id="285"/>
      </w:r>
      <w:r w:rsidRPr="008C0FB5">
        <w:rPr>
          <w:rFonts w:cs="Saihat" w:hint="cs"/>
          <w:vertAlign w:val="superscript"/>
          <w:rtl/>
        </w:rPr>
        <w:t>)</w:t>
      </w:r>
      <w:r w:rsidRPr="008C0FB5">
        <w:rPr>
          <w:rFonts w:hint="cs"/>
          <w:rtl/>
        </w:rPr>
        <w:t xml:space="preserve"> على انه: </w:t>
      </w:r>
    </w:p>
    <w:p w14:paraId="3CA90F57" w14:textId="77777777" w:rsidR="0094067A" w:rsidRPr="008C0FB5" w:rsidRDefault="0094067A" w:rsidP="00A613BA">
      <w:pPr>
        <w:pStyle w:val="afffffff1"/>
        <w:rPr>
          <w:rFonts w:hint="cs"/>
          <w:rtl/>
        </w:rPr>
      </w:pPr>
      <w:r w:rsidRPr="008C0FB5">
        <w:rPr>
          <w:rFonts w:hint="cs"/>
          <w:rtl/>
        </w:rPr>
        <w:t>سبب الموجب يكون في الدافع الذي يحمل عليه مباشرة على وجه لا يتغير وهو يعد جزءاً غير منفصل عن العقد، كالموجب القابل في العقود المتبادلة والقيام بأداء في العقود العينية ونية التبرع في العقود المجانية أما في العقود ذات العوض غير المتبادلة فالسبب هو الموجب الموجود من قبل مدنياً كان أم طبيعياً</w:t>
      </w:r>
      <w:r w:rsidR="003E1E9A" w:rsidRPr="008C0FB5">
        <w:rPr>
          <w:rFonts w:cs="hashemi" w:hint="cs"/>
          <w:rtl/>
          <w:lang w:bidi="ar-IQ"/>
        </w:rPr>
        <w:t>.</w:t>
      </w:r>
    </w:p>
    <w:p w14:paraId="3CBE52EC" w14:textId="77777777" w:rsidR="0094067A" w:rsidRPr="008C0FB5" w:rsidRDefault="0094067A" w:rsidP="00C35031">
      <w:pPr>
        <w:pStyle w:val="35"/>
        <w:rPr>
          <w:rFonts w:hint="cs"/>
          <w:rtl/>
        </w:rPr>
      </w:pPr>
      <w:r w:rsidRPr="008C0FB5">
        <w:rPr>
          <w:rFonts w:hint="cs"/>
          <w:rtl/>
        </w:rPr>
        <w:t>فسبب الالتزام في نظر القانون اللبناني هو الغرض المباشر الذي يقصده المتعاقد من تحمل الالتزام، وهو السبب كما عرفته النظرية التقليدية.</w:t>
      </w:r>
    </w:p>
    <w:p w14:paraId="6C800B29" w14:textId="77777777" w:rsidR="0094067A" w:rsidRPr="008C0FB5" w:rsidRDefault="0094067A" w:rsidP="00C35031">
      <w:pPr>
        <w:pStyle w:val="35"/>
        <w:rPr>
          <w:rFonts w:hint="cs"/>
          <w:rtl/>
        </w:rPr>
      </w:pPr>
      <w:r w:rsidRPr="008C0FB5">
        <w:rPr>
          <w:rFonts w:hint="cs"/>
          <w:rtl/>
        </w:rPr>
        <w:t xml:space="preserve">ولكن القانون اللبناني لم يقف عند هذا الحد وإنما أخذ أيضاً بالنظرية الحديثة في السبب (سبب العقد) وذلك في المادة 200 من القانون نفسه إذ نصت على انه: </w:t>
      </w:r>
    </w:p>
    <w:p w14:paraId="07392586" w14:textId="77777777" w:rsidR="0094067A" w:rsidRPr="008C0FB5" w:rsidRDefault="0094067A" w:rsidP="00A613BA">
      <w:pPr>
        <w:pStyle w:val="afffffff1"/>
        <w:rPr>
          <w:rFonts w:hint="cs"/>
          <w:rtl/>
        </w:rPr>
      </w:pPr>
      <w:r w:rsidRPr="008C0FB5">
        <w:rPr>
          <w:rFonts w:hint="cs"/>
          <w:rtl/>
        </w:rPr>
        <w:t>ان سبب العقد يكون في الدافع الشخصي الذي حمل الطرف المتعاقد على إنشاء العقد، وهو لا يعد جزءاً غير منفصل عن العقد، بل يختلف في كل نوع من العقود وان تكن من فئة واحدة</w:t>
      </w:r>
      <w:r w:rsidR="003E1E9A" w:rsidRPr="008C0FB5">
        <w:rPr>
          <w:rFonts w:cs="hashemi" w:hint="cs"/>
          <w:rtl/>
          <w:lang w:bidi="ar-IQ"/>
        </w:rPr>
        <w:t>.</w:t>
      </w:r>
    </w:p>
    <w:p w14:paraId="36614273" w14:textId="77777777" w:rsidR="0094067A" w:rsidRPr="008C0FB5" w:rsidRDefault="0094067A" w:rsidP="00C35031">
      <w:pPr>
        <w:pStyle w:val="35"/>
        <w:rPr>
          <w:rFonts w:hint="cs"/>
          <w:rtl/>
        </w:rPr>
      </w:pPr>
      <w:r w:rsidRPr="008C0FB5">
        <w:rPr>
          <w:rFonts w:hint="cs"/>
          <w:rtl/>
        </w:rPr>
        <w:t xml:space="preserve">ونصت المادة 201 من القانون المذكور على انه </w:t>
      </w:r>
    </w:p>
    <w:p w14:paraId="4C3EF52B" w14:textId="77777777" w:rsidR="0094067A" w:rsidRPr="008C0FB5" w:rsidRDefault="0094067A" w:rsidP="00A613BA">
      <w:pPr>
        <w:pStyle w:val="afffffff1"/>
        <w:rPr>
          <w:rFonts w:hint="cs"/>
          <w:rtl/>
        </w:rPr>
      </w:pPr>
      <w:r w:rsidRPr="008C0FB5">
        <w:rPr>
          <w:rFonts w:hint="cs"/>
          <w:rtl/>
        </w:rPr>
        <w:t>إذا كان سبب العقد غير مباح كان العقد باطلاً أصلاً</w:t>
      </w:r>
      <w:r w:rsidR="003E1E9A" w:rsidRPr="008C0FB5">
        <w:rPr>
          <w:rFonts w:cs="hashemi" w:hint="cs"/>
          <w:rtl/>
          <w:lang w:bidi="ar-IQ"/>
        </w:rPr>
        <w:t>.</w:t>
      </w:r>
    </w:p>
    <w:p w14:paraId="26503FB9" w14:textId="77777777" w:rsidR="0094067A" w:rsidRPr="008C0FB5" w:rsidRDefault="0094067A" w:rsidP="00921573">
      <w:pPr>
        <w:pStyle w:val="35"/>
        <w:spacing w:line="240" w:lineRule="auto"/>
        <w:rPr>
          <w:rFonts w:hint="cs"/>
          <w:rtl/>
        </w:rPr>
      </w:pPr>
      <w:r w:rsidRPr="008C0FB5">
        <w:rPr>
          <w:rFonts w:hint="cs"/>
          <w:rtl/>
        </w:rPr>
        <w:t xml:space="preserve">وبهذا يكون القانون اللبناني قد أخذ بنظرية السبب المزدوجة وذلك لأن الفقيه (جوسران) هو الذي وضع مشروعه مستفيداً مما وجه إلى النظرية التقليدية من نقد فالخطأ الذي وقعت فيه النظرية التقليدية هو إهمالها للاعتداد بالباعث الدافع </w:t>
      </w:r>
      <w:proofErr w:type="gramStart"/>
      <w:r w:rsidRPr="008C0FB5">
        <w:rPr>
          <w:rFonts w:hint="cs"/>
          <w:rtl/>
        </w:rPr>
        <w:t>للتعاقد</w:t>
      </w:r>
      <w:r w:rsidRPr="008C0FB5">
        <w:rPr>
          <w:rFonts w:cs="Saihat" w:hint="cs"/>
          <w:vertAlign w:val="superscript"/>
          <w:rtl/>
        </w:rPr>
        <w:t>(</w:t>
      </w:r>
      <w:proofErr w:type="gramEnd"/>
      <w:r w:rsidRPr="008C0FB5">
        <w:rPr>
          <w:rStyle w:val="af0"/>
          <w:rFonts w:cs="Saihat"/>
          <w:sz w:val="30"/>
          <w:rtl/>
        </w:rPr>
        <w:footnoteReference w:id="286"/>
      </w:r>
      <w:r w:rsidRPr="008C0FB5">
        <w:rPr>
          <w:rFonts w:cs="Saihat" w:hint="cs"/>
          <w:vertAlign w:val="superscript"/>
          <w:rtl/>
        </w:rPr>
        <w:t>)</w:t>
      </w:r>
      <w:r w:rsidRPr="008C0FB5">
        <w:rPr>
          <w:rFonts w:hint="cs"/>
          <w:rtl/>
        </w:rPr>
        <w:t>.</w:t>
      </w:r>
    </w:p>
    <w:p w14:paraId="6FA97286" w14:textId="77777777" w:rsidR="0094067A" w:rsidRPr="008C0FB5" w:rsidRDefault="0094067A" w:rsidP="00921573">
      <w:pPr>
        <w:pStyle w:val="35"/>
        <w:spacing w:line="240" w:lineRule="auto"/>
        <w:rPr>
          <w:rFonts w:hint="cs"/>
          <w:rtl/>
        </w:rPr>
      </w:pPr>
      <w:r w:rsidRPr="008C0FB5">
        <w:rPr>
          <w:rFonts w:hint="cs"/>
          <w:rtl/>
        </w:rPr>
        <w:t xml:space="preserve">وكذلك فعل القضاء اللبناني طبقاً للنصوص القانونية التي صرحت بالأخذ بالسببين القصدي والباعث، حيث أبطل العقد اذلي يكون سببه مخالفاً للنظام العام والآداب، فقضى ببطلان عقد بيع مفروشات لتجهيز بيت للدعارة إذا كان الطرف الآخر على علم بهذا </w:t>
      </w:r>
      <w:proofErr w:type="gramStart"/>
      <w:r w:rsidRPr="008C0FB5">
        <w:rPr>
          <w:rFonts w:hint="cs"/>
          <w:rtl/>
        </w:rPr>
        <w:t>الباعث</w:t>
      </w:r>
      <w:r w:rsidRPr="008C0FB5">
        <w:rPr>
          <w:rFonts w:cs="Saihat" w:hint="cs"/>
          <w:vertAlign w:val="superscript"/>
          <w:rtl/>
        </w:rPr>
        <w:t>(</w:t>
      </w:r>
      <w:proofErr w:type="gramEnd"/>
      <w:r w:rsidRPr="008C0FB5">
        <w:rPr>
          <w:rStyle w:val="af0"/>
          <w:rFonts w:cs="Saihat"/>
          <w:sz w:val="30"/>
          <w:rtl/>
        </w:rPr>
        <w:footnoteReference w:id="287"/>
      </w:r>
      <w:r w:rsidRPr="008C0FB5">
        <w:rPr>
          <w:rFonts w:cs="Saihat" w:hint="cs"/>
          <w:vertAlign w:val="superscript"/>
          <w:rtl/>
        </w:rPr>
        <w:t>)</w:t>
      </w:r>
      <w:r w:rsidRPr="008C0FB5">
        <w:rPr>
          <w:rFonts w:hint="cs"/>
          <w:rtl/>
        </w:rPr>
        <w:t xml:space="preserve"> وقضى ببطلان عقد القرض لشراء أصوات الناخبين</w:t>
      </w:r>
      <w:r w:rsidRPr="008C0FB5">
        <w:rPr>
          <w:rFonts w:cs="Saihat" w:hint="cs"/>
          <w:vertAlign w:val="superscript"/>
          <w:rtl/>
        </w:rPr>
        <w:t>(</w:t>
      </w:r>
      <w:r w:rsidRPr="008C0FB5">
        <w:rPr>
          <w:rStyle w:val="af0"/>
          <w:rFonts w:cs="Saihat"/>
          <w:sz w:val="30"/>
          <w:rtl/>
        </w:rPr>
        <w:footnoteReference w:id="288"/>
      </w:r>
      <w:r w:rsidRPr="008C0FB5">
        <w:rPr>
          <w:rFonts w:cs="Saihat" w:hint="cs"/>
          <w:vertAlign w:val="superscript"/>
          <w:rtl/>
        </w:rPr>
        <w:t>)</w:t>
      </w:r>
      <w:r w:rsidRPr="008C0FB5">
        <w:rPr>
          <w:rFonts w:hint="cs"/>
          <w:rtl/>
        </w:rPr>
        <w:t>.</w:t>
      </w:r>
    </w:p>
    <w:p w14:paraId="529B621C" w14:textId="77777777" w:rsidR="0094067A" w:rsidRPr="008C0FB5" w:rsidRDefault="0094067A" w:rsidP="00921573">
      <w:pPr>
        <w:pStyle w:val="35"/>
        <w:spacing w:line="240" w:lineRule="auto"/>
        <w:rPr>
          <w:rFonts w:hint="cs"/>
          <w:rtl/>
        </w:rPr>
      </w:pPr>
      <w:r w:rsidRPr="008C0FB5">
        <w:rPr>
          <w:rFonts w:hint="cs"/>
          <w:rtl/>
        </w:rPr>
        <w:t xml:space="preserve">أما بالنسبة لموقف القانون المدني </w:t>
      </w:r>
      <w:proofErr w:type="gramStart"/>
      <w:r w:rsidRPr="008C0FB5">
        <w:rPr>
          <w:rFonts w:hint="cs"/>
          <w:rtl/>
        </w:rPr>
        <w:t>الأردني</w:t>
      </w:r>
      <w:r w:rsidRPr="008C0FB5">
        <w:rPr>
          <w:rFonts w:cs="Saihat" w:hint="cs"/>
          <w:vertAlign w:val="superscript"/>
          <w:rtl/>
        </w:rPr>
        <w:t>(</w:t>
      </w:r>
      <w:proofErr w:type="gramEnd"/>
      <w:r w:rsidRPr="008C0FB5">
        <w:rPr>
          <w:rStyle w:val="af0"/>
          <w:rFonts w:cs="Saihat"/>
          <w:sz w:val="30"/>
          <w:rtl/>
        </w:rPr>
        <w:footnoteReference w:id="289"/>
      </w:r>
      <w:r w:rsidRPr="008C0FB5">
        <w:rPr>
          <w:rFonts w:cs="Saihat" w:hint="cs"/>
          <w:vertAlign w:val="superscript"/>
          <w:rtl/>
        </w:rPr>
        <w:t>)</w:t>
      </w:r>
      <w:r w:rsidRPr="008C0FB5">
        <w:rPr>
          <w:rFonts w:hint="cs"/>
          <w:rtl/>
        </w:rPr>
        <w:t xml:space="preserve"> فقد نصت المادة 165 على انه </w:t>
      </w:r>
    </w:p>
    <w:p w14:paraId="2E0FA783" w14:textId="77777777" w:rsidR="0094067A" w:rsidRPr="008C0FB5" w:rsidRDefault="0094067A" w:rsidP="00A613BA">
      <w:pPr>
        <w:pStyle w:val="afffffff1"/>
        <w:rPr>
          <w:rFonts w:hint="cs"/>
          <w:rtl/>
        </w:rPr>
      </w:pPr>
      <w:r w:rsidRPr="008C0FB5">
        <w:rPr>
          <w:rFonts w:hint="cs"/>
          <w:rtl/>
        </w:rPr>
        <w:t xml:space="preserve">السبب هو الغرض المباشر المقصود من العقد </w:t>
      </w:r>
    </w:p>
    <w:p w14:paraId="299A102D" w14:textId="77777777" w:rsidR="0094067A" w:rsidRPr="008C0FB5" w:rsidRDefault="0094067A" w:rsidP="00C35031">
      <w:pPr>
        <w:pStyle w:val="35"/>
        <w:rPr>
          <w:rFonts w:hint="cs"/>
          <w:rtl/>
        </w:rPr>
      </w:pPr>
      <w:r w:rsidRPr="008C0FB5">
        <w:rPr>
          <w:rFonts w:hint="cs"/>
          <w:rtl/>
        </w:rPr>
        <w:t xml:space="preserve">وهذا تصريح صريح ومقصود في تفسير السبب بأنه الغرض المباشر من العقد، أي انه أخذ بهذه المادة بالنظرية التقليدية </w:t>
      </w:r>
      <w:proofErr w:type="gramStart"/>
      <w:r w:rsidRPr="008C0FB5">
        <w:rPr>
          <w:rFonts w:hint="cs"/>
          <w:rtl/>
        </w:rPr>
        <w:t>للسبب</w:t>
      </w:r>
      <w:proofErr w:type="gramEnd"/>
      <w:r w:rsidRPr="008C0FB5">
        <w:rPr>
          <w:rFonts w:hint="cs"/>
          <w:rtl/>
        </w:rPr>
        <w:t xml:space="preserve"> ولكنه لم يقف عند هذا الحد، فقد قضى أيضاً في المادة 166 من القانون نفسه على انه </w:t>
      </w:r>
    </w:p>
    <w:p w14:paraId="166B620C" w14:textId="77777777" w:rsidR="0094067A" w:rsidRPr="008C0FB5" w:rsidRDefault="0094067A" w:rsidP="00A613BA">
      <w:pPr>
        <w:pStyle w:val="afffffff1"/>
        <w:rPr>
          <w:rFonts w:hint="cs"/>
          <w:rtl/>
        </w:rPr>
      </w:pPr>
      <w:r w:rsidRPr="008C0FB5">
        <w:rPr>
          <w:rFonts w:hint="cs"/>
          <w:rtl/>
        </w:rPr>
        <w:lastRenderedPageBreak/>
        <w:t>1- لا يصح العقد إذا لم تكن فيه منفعة مشروعة لعاقديه</w:t>
      </w:r>
      <w:r w:rsidR="003E1E9A" w:rsidRPr="008C0FB5">
        <w:rPr>
          <w:rFonts w:cs="hashemi" w:hint="cs"/>
          <w:rtl/>
          <w:lang w:bidi="ar-IQ"/>
        </w:rPr>
        <w:t>.</w:t>
      </w:r>
    </w:p>
    <w:p w14:paraId="309D15B7" w14:textId="77777777" w:rsidR="0094067A" w:rsidRPr="008C0FB5" w:rsidRDefault="0094067A" w:rsidP="00C35031">
      <w:pPr>
        <w:pStyle w:val="35"/>
        <w:rPr>
          <w:rFonts w:hint="cs"/>
          <w:rtl/>
        </w:rPr>
      </w:pPr>
      <w:r w:rsidRPr="008C0FB5">
        <w:rPr>
          <w:rFonts w:hint="cs"/>
          <w:rtl/>
        </w:rPr>
        <w:t xml:space="preserve">وهذا هو سبب العقد أي الباعث الدافع للتعاقد وفقاً للنظرية الحديثة للسبب، وهذا يعني ان القانون المدني الأردني قد وقف موقفاً مزدوجاً أي انه أخذ بالنظريتين </w:t>
      </w:r>
      <w:proofErr w:type="gramStart"/>
      <w:r w:rsidRPr="008C0FB5">
        <w:rPr>
          <w:rFonts w:hint="cs"/>
          <w:rtl/>
        </w:rPr>
        <w:t>معاً</w:t>
      </w:r>
      <w:r w:rsidRPr="008C0FB5">
        <w:rPr>
          <w:rFonts w:cs="Saihat" w:hint="cs"/>
          <w:vertAlign w:val="superscript"/>
          <w:rtl/>
        </w:rPr>
        <w:t>(</w:t>
      </w:r>
      <w:proofErr w:type="gramEnd"/>
      <w:r w:rsidRPr="008C0FB5">
        <w:rPr>
          <w:rStyle w:val="af0"/>
          <w:rFonts w:cs="Saihat"/>
          <w:sz w:val="30"/>
          <w:rtl/>
        </w:rPr>
        <w:footnoteReference w:id="290"/>
      </w:r>
      <w:r w:rsidRPr="008C0FB5">
        <w:rPr>
          <w:rFonts w:cs="Saihat" w:hint="cs"/>
          <w:vertAlign w:val="superscript"/>
          <w:rtl/>
        </w:rPr>
        <w:t>)</w:t>
      </w:r>
      <w:r w:rsidRPr="008C0FB5">
        <w:rPr>
          <w:rFonts w:hint="cs"/>
          <w:rtl/>
        </w:rPr>
        <w:t>.</w:t>
      </w:r>
    </w:p>
    <w:p w14:paraId="1556DF88" w14:textId="77777777" w:rsidR="0094067A" w:rsidRPr="008C0FB5" w:rsidRDefault="0094067A" w:rsidP="00C253D0">
      <w:pPr>
        <w:pStyle w:val="a0"/>
        <w:rPr>
          <w:rFonts w:hint="cs"/>
          <w:rtl/>
        </w:rPr>
      </w:pPr>
      <w:bookmarkStart w:id="94" w:name="_Toc8643686"/>
      <w:r w:rsidRPr="008C0FB5">
        <w:rPr>
          <w:rFonts w:hint="cs"/>
          <w:rtl/>
        </w:rPr>
        <w:t>المبحث الثالث: نظرية الاعتبار في القانون الانكليزي</w:t>
      </w:r>
      <w:bookmarkEnd w:id="94"/>
    </w:p>
    <w:p w14:paraId="40CA13E9" w14:textId="77777777" w:rsidR="0094067A" w:rsidRPr="008C0FB5" w:rsidRDefault="0094067A" w:rsidP="00C35031">
      <w:pPr>
        <w:pStyle w:val="48"/>
        <w:rPr>
          <w:rFonts w:hint="cs"/>
          <w:rtl/>
        </w:rPr>
      </w:pPr>
      <w:r w:rsidRPr="008C0FB5">
        <w:rPr>
          <w:rFonts w:hint="cs"/>
          <w:rtl/>
        </w:rPr>
        <w:t xml:space="preserve">بادئ ذي بدء يمكن لنا أن نتلمس فكرة الاعتبار في القانون الانكليزي في الأفكار الاجتماعية التي نادى بها الفقه الانكليزي (بنتام) والذي أقام العلاقات الاجتماعية على أساس من المصلحة أي انه لا توجد علاقات بين أفراد المجتمع لولا ان هنالك مصالح متبادلة بينهم، وهذه الفكرة التي نادى بها(بنتام) هي ما يطلق عليها بالنظرية </w:t>
      </w:r>
      <w:proofErr w:type="gramStart"/>
      <w:r w:rsidRPr="008C0FB5">
        <w:rPr>
          <w:rFonts w:hint="cs"/>
          <w:rtl/>
        </w:rPr>
        <w:t>النفعية</w:t>
      </w:r>
      <w:r w:rsidRPr="008C0FB5">
        <w:rPr>
          <w:rFonts w:cs="Saihat" w:hint="cs"/>
          <w:vertAlign w:val="superscript"/>
          <w:rtl/>
        </w:rPr>
        <w:t>(</w:t>
      </w:r>
      <w:proofErr w:type="gramEnd"/>
      <w:r w:rsidRPr="008C0FB5">
        <w:rPr>
          <w:rStyle w:val="af0"/>
          <w:rFonts w:cs="Saihat"/>
          <w:sz w:val="30"/>
          <w:rtl/>
        </w:rPr>
        <w:footnoteReference w:id="291"/>
      </w:r>
      <w:r w:rsidRPr="008C0FB5">
        <w:rPr>
          <w:rFonts w:cs="Saihat" w:hint="cs"/>
          <w:vertAlign w:val="superscript"/>
          <w:rtl/>
        </w:rPr>
        <w:t>)</w:t>
      </w:r>
      <w:r w:rsidRPr="008C0FB5">
        <w:rPr>
          <w:rFonts w:hint="cs"/>
          <w:rtl/>
        </w:rPr>
        <w:t>، والتي كانت لها السلطة الأولى في السيطرة على المبادئ العامة للقانون الانكليزي أي انه اللذة والشهوة هي التي تحرك الإنسان إلى إنشاء العلاقات الاجتماعية.</w:t>
      </w:r>
    </w:p>
    <w:p w14:paraId="236AB1A1" w14:textId="77777777" w:rsidR="0094067A" w:rsidRPr="008C0FB5" w:rsidRDefault="0094067A" w:rsidP="00C35031">
      <w:pPr>
        <w:pStyle w:val="35"/>
        <w:rPr>
          <w:rFonts w:hint="cs"/>
          <w:rtl/>
        </w:rPr>
      </w:pPr>
      <w:r w:rsidRPr="008C0FB5">
        <w:rPr>
          <w:rFonts w:hint="cs"/>
          <w:rtl/>
        </w:rPr>
        <w:t xml:space="preserve">وقد ثار جدل بين الفقهاء حول الأصل التاريخي لنظرية الاعتبار ولا نريد الدخول في هذا الجدل، ونقول باختصار ان الاعتبار نشأ وتطور مع نشوء وتطور العقود </w:t>
      </w:r>
      <w:proofErr w:type="gramStart"/>
      <w:r w:rsidRPr="008C0FB5">
        <w:rPr>
          <w:rFonts w:hint="cs"/>
          <w:rtl/>
        </w:rPr>
        <w:t>البسيطة</w:t>
      </w:r>
      <w:r w:rsidRPr="008C0FB5">
        <w:rPr>
          <w:rFonts w:cs="Saihat" w:hint="cs"/>
          <w:vertAlign w:val="superscript"/>
          <w:rtl/>
        </w:rPr>
        <w:t>(</w:t>
      </w:r>
      <w:proofErr w:type="gramEnd"/>
      <w:r w:rsidRPr="008C0FB5">
        <w:rPr>
          <w:rStyle w:val="af0"/>
          <w:rFonts w:cs="Saihat"/>
          <w:sz w:val="30"/>
          <w:rtl/>
        </w:rPr>
        <w:footnoteReference w:id="292"/>
      </w:r>
      <w:r w:rsidRPr="008C0FB5">
        <w:rPr>
          <w:rFonts w:cs="Saihat" w:hint="cs"/>
          <w:vertAlign w:val="superscript"/>
          <w:rtl/>
        </w:rPr>
        <w:t>)</w:t>
      </w:r>
      <w:r w:rsidRPr="008C0FB5">
        <w:rPr>
          <w:rFonts w:hint="cs"/>
          <w:rtl/>
        </w:rPr>
        <w:t xml:space="preserve"> .</w:t>
      </w:r>
    </w:p>
    <w:p w14:paraId="4F2D3B1D" w14:textId="77777777" w:rsidR="0094067A" w:rsidRPr="008C0FB5" w:rsidRDefault="0094067A" w:rsidP="00C35031">
      <w:pPr>
        <w:pStyle w:val="35"/>
        <w:rPr>
          <w:rFonts w:hint="cs"/>
          <w:rtl/>
        </w:rPr>
      </w:pPr>
      <w:r w:rsidRPr="008C0FB5">
        <w:rPr>
          <w:rFonts w:hint="cs"/>
          <w:rtl/>
        </w:rPr>
        <w:t>وبعد هذه المقدمة البسيطة ننتقل لبيان ما هو الاعتبار وما هي أنواعه وشروطه وخصائصه، ولذلك فقد قسمنا هذا المبحث إلى مطلبين نتناول في أولهما ما هو الاعتبار وأنواعه أما ثانيهما فقد عقدناه لبحث شروط الاعتبار وخصائصه.</w:t>
      </w:r>
    </w:p>
    <w:p w14:paraId="1541A845" w14:textId="77777777" w:rsidR="0094067A" w:rsidRPr="008C0FB5" w:rsidRDefault="0094067A" w:rsidP="00C253D0">
      <w:pPr>
        <w:pStyle w:val="a1"/>
        <w:rPr>
          <w:rFonts w:hint="cs"/>
          <w:rtl/>
        </w:rPr>
      </w:pPr>
      <w:bookmarkStart w:id="95" w:name="_Toc8643687"/>
      <w:r w:rsidRPr="008C0FB5">
        <w:rPr>
          <w:rFonts w:hint="cs"/>
          <w:rtl/>
        </w:rPr>
        <w:t xml:space="preserve">المطلب </w:t>
      </w:r>
      <w:r w:rsidRPr="008C0FB5">
        <w:rPr>
          <w:rFonts w:hint="cs"/>
          <w:szCs w:val="36"/>
          <w:rtl/>
        </w:rPr>
        <w:t>الأول</w:t>
      </w:r>
      <w:r w:rsidRPr="008C0FB5">
        <w:rPr>
          <w:rFonts w:hint="cs"/>
          <w:rtl/>
        </w:rPr>
        <w:t>: تعريف الاعتبار وبيان أنواعه</w:t>
      </w:r>
      <w:bookmarkEnd w:id="95"/>
    </w:p>
    <w:p w14:paraId="12E125A7" w14:textId="77777777" w:rsidR="0094067A" w:rsidRPr="008C0FB5" w:rsidRDefault="0094067A" w:rsidP="00C35031">
      <w:pPr>
        <w:pStyle w:val="48"/>
        <w:rPr>
          <w:rFonts w:hint="cs"/>
          <w:rtl/>
        </w:rPr>
      </w:pPr>
      <w:r w:rsidRPr="008C0FB5">
        <w:rPr>
          <w:rFonts w:hint="cs"/>
          <w:rtl/>
        </w:rPr>
        <w:t>ونقسم هذا المطلب إلى فرعين نتناول في أولهما تحديد معنى الاعتبار أما الفرع الثاني فنخصصه لبيان أنواع الاعتبار.</w:t>
      </w:r>
    </w:p>
    <w:p w14:paraId="626E2F30" w14:textId="77777777" w:rsidR="0094067A" w:rsidRPr="008C0FB5" w:rsidRDefault="0094067A" w:rsidP="00C253D0">
      <w:pPr>
        <w:pStyle w:val="af8"/>
        <w:rPr>
          <w:rFonts w:hint="cs"/>
          <w:rtl/>
        </w:rPr>
      </w:pPr>
      <w:bookmarkStart w:id="96" w:name="_Toc8643688"/>
      <w:r w:rsidRPr="008C0FB5">
        <w:rPr>
          <w:rFonts w:hint="cs"/>
          <w:rtl/>
        </w:rPr>
        <w:t>الفرع الأول: تعـريف الاعتبار</w:t>
      </w:r>
      <w:bookmarkEnd w:id="96"/>
    </w:p>
    <w:p w14:paraId="38153521" w14:textId="77777777" w:rsidR="0094067A" w:rsidRPr="008C0FB5" w:rsidRDefault="0094067A" w:rsidP="00C35031">
      <w:pPr>
        <w:pStyle w:val="48"/>
        <w:rPr>
          <w:rFonts w:hint="cs"/>
          <w:rtl/>
        </w:rPr>
      </w:pPr>
      <w:r w:rsidRPr="008C0FB5">
        <w:rPr>
          <w:rFonts w:hint="cs"/>
          <w:rtl/>
        </w:rPr>
        <w:t xml:space="preserve">لقد اختلف الفقه والقضاء على تحديد معنى للاعتبار، فقد تردد معنى الاعتبار في أحكام القضاء بين المنفعة والضرر، وذلك واضح في قضية كاري ضد </w:t>
      </w:r>
      <w:proofErr w:type="gramStart"/>
      <w:r w:rsidRPr="008C0FB5">
        <w:rPr>
          <w:rFonts w:hint="cs"/>
          <w:rtl/>
        </w:rPr>
        <w:t>ميزا(</w:t>
      </w:r>
      <w:proofErr w:type="gramEnd"/>
      <w:r w:rsidRPr="008C0FB5">
        <w:rPr>
          <w:rFonts w:hint="cs"/>
          <w:rtl/>
        </w:rPr>
        <w:t xml:space="preserve">1875) إذ جاء فيه </w:t>
      </w:r>
    </w:p>
    <w:p w14:paraId="20A41406" w14:textId="77777777" w:rsidR="0094067A" w:rsidRPr="008C0FB5" w:rsidRDefault="0094067A" w:rsidP="00A613BA">
      <w:pPr>
        <w:pStyle w:val="afffffff1"/>
        <w:rPr>
          <w:rFonts w:hint="cs"/>
          <w:rtl/>
        </w:rPr>
      </w:pPr>
      <w:r w:rsidRPr="008C0FB5">
        <w:rPr>
          <w:rFonts w:hint="cs"/>
          <w:rtl/>
        </w:rPr>
        <w:t xml:space="preserve">الاعتبار الذي له قيمة في نظر القانون يمكن أن يقوم أما في حق أو مصلحة أو منفعة حصل عليها أحد الطرفين، أو في أمر تركه الطرف الآخر، أو ضرر أصابه أو خسارة ألمت به أو مسؤولية </w:t>
      </w:r>
      <w:proofErr w:type="gramStart"/>
      <w:r w:rsidRPr="008C0FB5">
        <w:rPr>
          <w:rFonts w:hint="cs"/>
          <w:rtl/>
        </w:rPr>
        <w:t>تحملها</w:t>
      </w:r>
      <w:r w:rsidRPr="008C0FB5">
        <w:rPr>
          <w:rFonts w:hint="cs"/>
          <w:szCs w:val="30"/>
          <w:vertAlign w:val="superscript"/>
          <w:rtl/>
        </w:rPr>
        <w:t>(</w:t>
      </w:r>
      <w:proofErr w:type="gramEnd"/>
      <w:r w:rsidRPr="008C0FB5">
        <w:rPr>
          <w:rStyle w:val="af0"/>
          <w:sz w:val="30"/>
          <w:szCs w:val="30"/>
          <w:rtl/>
        </w:rPr>
        <w:footnoteReference w:id="293"/>
      </w:r>
      <w:r w:rsidRPr="008C0FB5">
        <w:rPr>
          <w:rFonts w:hint="cs"/>
          <w:szCs w:val="30"/>
          <w:vertAlign w:val="superscript"/>
          <w:rtl/>
        </w:rPr>
        <w:t>)</w:t>
      </w:r>
      <w:r w:rsidRPr="008C0FB5">
        <w:rPr>
          <w:rFonts w:hint="cs"/>
          <w:rtl/>
        </w:rPr>
        <w:t>.</w:t>
      </w:r>
    </w:p>
    <w:p w14:paraId="51A0E645" w14:textId="77777777" w:rsidR="0094067A" w:rsidRPr="008C0FB5" w:rsidRDefault="0094067A" w:rsidP="00C35031">
      <w:pPr>
        <w:pStyle w:val="35"/>
        <w:rPr>
          <w:rFonts w:hint="cs"/>
          <w:rtl/>
        </w:rPr>
      </w:pPr>
      <w:r w:rsidRPr="008C0FB5">
        <w:rPr>
          <w:rFonts w:hint="cs"/>
          <w:rtl/>
        </w:rPr>
        <w:t>وفي هذا المعنى يقول اللورد بلاكيرن في قضية بولتن ضد مادن 1873</w:t>
      </w:r>
    </w:p>
    <w:p w14:paraId="24AED8D5" w14:textId="77777777" w:rsidR="0094067A" w:rsidRPr="008C0FB5" w:rsidRDefault="0094067A" w:rsidP="00A613BA">
      <w:pPr>
        <w:pStyle w:val="afffffff1"/>
        <w:rPr>
          <w:rFonts w:hint="cs"/>
          <w:rtl/>
        </w:rPr>
      </w:pPr>
      <w:r w:rsidRPr="008C0FB5">
        <w:rPr>
          <w:rFonts w:hint="cs"/>
          <w:rtl/>
        </w:rPr>
        <w:lastRenderedPageBreak/>
        <w:t xml:space="preserve">الأصل ان الاتفاق الذي يقبل بمقتضاه المدعي للقيام بعمل كما يقبل المدعى عليه القيام بعمل ما، هذا الاتفاق يمكن الإجبار به أما نافعاً للمدعى عليه أو ضاراً </w:t>
      </w:r>
      <w:proofErr w:type="gramStart"/>
      <w:r w:rsidRPr="008C0FB5">
        <w:rPr>
          <w:rFonts w:hint="cs"/>
          <w:rtl/>
        </w:rPr>
        <w:t>بالمدعي</w:t>
      </w:r>
      <w:r w:rsidRPr="008C0FB5">
        <w:rPr>
          <w:rFonts w:hint="cs"/>
          <w:szCs w:val="30"/>
          <w:vertAlign w:val="superscript"/>
          <w:rtl/>
        </w:rPr>
        <w:t>(</w:t>
      </w:r>
      <w:proofErr w:type="gramEnd"/>
      <w:r w:rsidRPr="008C0FB5">
        <w:rPr>
          <w:rStyle w:val="af0"/>
          <w:sz w:val="30"/>
          <w:szCs w:val="30"/>
          <w:rtl/>
        </w:rPr>
        <w:footnoteReference w:id="294"/>
      </w:r>
      <w:r w:rsidRPr="008C0FB5">
        <w:rPr>
          <w:rFonts w:hint="cs"/>
          <w:szCs w:val="30"/>
          <w:vertAlign w:val="superscript"/>
          <w:rtl/>
        </w:rPr>
        <w:t>)</w:t>
      </w:r>
      <w:r w:rsidRPr="008C0FB5">
        <w:rPr>
          <w:rFonts w:hint="cs"/>
          <w:rtl/>
        </w:rPr>
        <w:t>.</w:t>
      </w:r>
    </w:p>
    <w:p w14:paraId="62C12F34" w14:textId="77777777" w:rsidR="0094067A" w:rsidRPr="008C0FB5" w:rsidRDefault="0094067A" w:rsidP="00A613BA">
      <w:pPr>
        <w:pStyle w:val="afffffff1"/>
        <w:rPr>
          <w:rFonts w:hint="cs"/>
          <w:rtl/>
        </w:rPr>
      </w:pPr>
      <w:r w:rsidRPr="008C0FB5">
        <w:rPr>
          <w:rFonts w:hint="cs"/>
          <w:rtl/>
        </w:rPr>
        <w:t>أما الفقه بتعريفه على العموم أكثر تفصيلاً من تعريف القضاء، فقد عبّر السير فردريك بولوك عنه بأنه لا يعني أكثر من ان طرفاً قد استفاد وان الطرف الآخر ينزل عن حق قانوني له في الحال، أو يقيد من حريته في العمل في المستقبل في مقابل تعهد صادر عن الطرف الآخر، ولا ينظر في ذلك إلى ما إذا كان الطرف الذي قبل الاعتبار له مصلحة ظاهرة في ذلك أم لا، فيكفي أن يقبله، كما يكفي أن يتعهد الطرف الذي قدم الاعتبار أن يتحمل عبأ أو خسارة شيء ذي قيمة في نظر القانون، ان القيام بعمل أو تركه من قبل أحد الطرفين، أو التعهد بذلك، هو الثمن الذي يدفع في مقابل تعهد الطرف الآخر، والتعهد الصادر على هذا النحو يكون لازماً</w:t>
      </w:r>
      <w:r w:rsidRPr="008C0FB5">
        <w:rPr>
          <w:rFonts w:hint="cs"/>
          <w:vertAlign w:val="superscript"/>
          <w:rtl/>
        </w:rPr>
        <w:t>(</w:t>
      </w:r>
      <w:r w:rsidRPr="008C0FB5">
        <w:rPr>
          <w:rStyle w:val="af0"/>
          <w:sz w:val="30"/>
          <w:rtl/>
        </w:rPr>
        <w:footnoteReference w:id="295"/>
      </w:r>
      <w:r w:rsidRPr="008C0FB5">
        <w:rPr>
          <w:rFonts w:hint="cs"/>
          <w:vertAlign w:val="superscript"/>
          <w:rtl/>
        </w:rPr>
        <w:t>)</w:t>
      </w:r>
      <w:r w:rsidRPr="008C0FB5">
        <w:rPr>
          <w:rFonts w:hint="cs"/>
          <w:rtl/>
        </w:rPr>
        <w:t xml:space="preserve">.    </w:t>
      </w:r>
    </w:p>
    <w:p w14:paraId="283CD734" w14:textId="77777777" w:rsidR="0094067A" w:rsidRPr="008C0FB5" w:rsidRDefault="0094067A" w:rsidP="00C35031">
      <w:pPr>
        <w:pStyle w:val="35"/>
        <w:rPr>
          <w:rFonts w:hint="cs"/>
          <w:rtl/>
        </w:rPr>
      </w:pPr>
      <w:r w:rsidRPr="008C0FB5">
        <w:rPr>
          <w:rFonts w:hint="cs"/>
          <w:rtl/>
        </w:rPr>
        <w:t>هذه المقابلة بين المنفعة والضرر لا يراها بعض الفقهاء كافية، ذلك ان لفظ الضرر لفظاً مبهماً، فمثلاً في حالة ما إذا عد (أ) مع (ب) عقد بيع بضاعة تدفع في أجل معين، فان كلاً من (أ) و(ب) يعتبر ملزماً من وقت الاتفاق، فان رفض أحدهما فيما بعد تنفيذ الالتزام من جانبه جاز للطرف الآخر مقاضاته فوراً، ذلك ان التزام كل من الطرفين اعتباراً لالتزام الآخر.</w:t>
      </w:r>
    </w:p>
    <w:p w14:paraId="41189C4A" w14:textId="77777777" w:rsidR="0094067A" w:rsidRPr="008C0FB5" w:rsidRDefault="0094067A" w:rsidP="00C35031">
      <w:pPr>
        <w:pStyle w:val="35"/>
        <w:rPr>
          <w:rFonts w:hint="cs"/>
          <w:rtl/>
        </w:rPr>
      </w:pPr>
      <w:r w:rsidRPr="008C0FB5">
        <w:rPr>
          <w:rFonts w:hint="cs"/>
          <w:rtl/>
        </w:rPr>
        <w:t xml:space="preserve">ففي هذه المرحلة من الصعوبة، ليس للمرء أن يتبين أياً من الطرفين قد حصل على منفعة من التزام المتعاقد الآخر وانه تحمل ضرراً لدى التزامه في مواجهة الآخر، ذلك ان مثل هذا النفع أو الضرر يفترض بأن الوعود تكون ملزمة قانوناً، وهو الأمر الذي يراد بالضبط </w:t>
      </w:r>
      <w:proofErr w:type="gramStart"/>
      <w:r w:rsidRPr="008C0FB5">
        <w:rPr>
          <w:rFonts w:hint="cs"/>
          <w:rtl/>
        </w:rPr>
        <w:t>إثباته</w:t>
      </w:r>
      <w:r w:rsidRPr="008C0FB5">
        <w:rPr>
          <w:rFonts w:cs="Saihat" w:hint="cs"/>
          <w:vertAlign w:val="superscript"/>
          <w:rtl/>
        </w:rPr>
        <w:t>(</w:t>
      </w:r>
      <w:proofErr w:type="gramEnd"/>
      <w:r w:rsidRPr="008C0FB5">
        <w:rPr>
          <w:rStyle w:val="af0"/>
          <w:rFonts w:cs="Saihat"/>
          <w:sz w:val="30"/>
          <w:rtl/>
        </w:rPr>
        <w:footnoteReference w:id="296"/>
      </w:r>
      <w:r w:rsidRPr="008C0FB5">
        <w:rPr>
          <w:rFonts w:cs="Saihat" w:hint="cs"/>
          <w:vertAlign w:val="superscript"/>
          <w:rtl/>
        </w:rPr>
        <w:t>)</w:t>
      </w:r>
      <w:r w:rsidRPr="008C0FB5">
        <w:rPr>
          <w:rFonts w:hint="cs"/>
          <w:rtl/>
        </w:rPr>
        <w:t>.</w:t>
      </w:r>
    </w:p>
    <w:p w14:paraId="683097C6" w14:textId="77777777" w:rsidR="0094067A" w:rsidRPr="008C0FB5" w:rsidRDefault="0094067A" w:rsidP="008C0FB5">
      <w:pPr>
        <w:pStyle w:val="35"/>
        <w:spacing w:line="240" w:lineRule="auto"/>
        <w:rPr>
          <w:rFonts w:hint="cs"/>
          <w:rtl/>
        </w:rPr>
      </w:pPr>
      <w:r w:rsidRPr="008C0FB5">
        <w:rPr>
          <w:rFonts w:hint="cs"/>
          <w:rtl/>
        </w:rPr>
        <w:t xml:space="preserve">والعيب الآخر لاستعمال كلمة الضرر، هو وجوب فهمه على معنى فني خاص إلى حد كبير، وعلى هذا فان الوعد بالامتناع عن التدخين يصلح أن يكون ضرراً في معنى السبب قانوناً، وذلك رغم ان التدخين مضر بصحة الواعد، وقد يكون لذلك وجاهة من الناحية الفنية ولكنه أمر يدعو إلى الخلط </w:t>
      </w:r>
      <w:proofErr w:type="gramStart"/>
      <w:r w:rsidRPr="008C0FB5">
        <w:rPr>
          <w:rFonts w:hint="cs"/>
          <w:rtl/>
        </w:rPr>
        <w:t>والإبهام</w:t>
      </w:r>
      <w:r w:rsidRPr="008C0FB5">
        <w:rPr>
          <w:rFonts w:cs="Saihat" w:hint="cs"/>
          <w:vertAlign w:val="superscript"/>
          <w:rtl/>
        </w:rPr>
        <w:t>(</w:t>
      </w:r>
      <w:proofErr w:type="gramEnd"/>
      <w:r w:rsidRPr="008C0FB5">
        <w:rPr>
          <w:rStyle w:val="af0"/>
          <w:rFonts w:cs="Saihat"/>
          <w:sz w:val="30"/>
          <w:rtl/>
        </w:rPr>
        <w:footnoteReference w:id="297"/>
      </w:r>
      <w:r w:rsidRPr="008C0FB5">
        <w:rPr>
          <w:rFonts w:cs="Saihat" w:hint="cs"/>
          <w:vertAlign w:val="superscript"/>
          <w:rtl/>
        </w:rPr>
        <w:t>)</w:t>
      </w:r>
      <w:r w:rsidRPr="008C0FB5">
        <w:rPr>
          <w:rFonts w:hint="cs"/>
          <w:rtl/>
        </w:rPr>
        <w:t>.</w:t>
      </w:r>
    </w:p>
    <w:p w14:paraId="2B3B7F6A" w14:textId="77777777" w:rsidR="0094067A" w:rsidRPr="008C0FB5" w:rsidRDefault="0094067A" w:rsidP="008C0FB5">
      <w:pPr>
        <w:pStyle w:val="35"/>
        <w:spacing w:line="240" w:lineRule="auto"/>
        <w:rPr>
          <w:rFonts w:hint="cs"/>
          <w:rtl/>
        </w:rPr>
      </w:pPr>
      <w:r w:rsidRPr="008C0FB5">
        <w:rPr>
          <w:rFonts w:hint="cs"/>
          <w:rtl/>
        </w:rPr>
        <w:t xml:space="preserve">ولم يقف الفقهاء الانكليز عند هذا الحد فقد جاء السير فردريك بفكرة جديدة تتلخص في عبارة دقيقة وموجزة عرضها على مجلس اللوردات عام 1915 فوافق عليها إذ قال: </w:t>
      </w:r>
    </w:p>
    <w:p w14:paraId="2493E259" w14:textId="77777777" w:rsidR="0094067A" w:rsidRPr="008C0FB5" w:rsidRDefault="0094067A" w:rsidP="00A613BA">
      <w:pPr>
        <w:pStyle w:val="afffffff1"/>
        <w:rPr>
          <w:rFonts w:hint="cs"/>
          <w:rtl/>
        </w:rPr>
      </w:pPr>
      <w:r w:rsidRPr="008C0FB5">
        <w:rPr>
          <w:rFonts w:hint="cs"/>
          <w:rtl/>
        </w:rPr>
        <w:t xml:space="preserve">العمل أو الامتناع عن عمل من جانب شخص أو الالتزام به هو </w:t>
      </w:r>
      <w:r w:rsidRPr="008C0FB5">
        <w:rPr>
          <w:rFonts w:ascii="Times New Roman" w:hAnsi="Times New Roman" w:cs="Times New Roman" w:hint="cs"/>
          <w:rtl/>
        </w:rPr>
        <w:t>–</w:t>
      </w:r>
      <w:r w:rsidRPr="008C0FB5">
        <w:rPr>
          <w:rFonts w:hint="cs"/>
          <w:rtl/>
        </w:rPr>
        <w:t xml:space="preserve"> الثمن </w:t>
      </w:r>
      <w:r w:rsidRPr="008C0FB5">
        <w:rPr>
          <w:rFonts w:ascii="Times New Roman" w:hAnsi="Times New Roman" w:cs="Times New Roman" w:hint="cs"/>
          <w:rtl/>
        </w:rPr>
        <w:t>–</w:t>
      </w:r>
      <w:r w:rsidRPr="008C0FB5">
        <w:rPr>
          <w:rFonts w:hint="cs"/>
          <w:rtl/>
        </w:rPr>
        <w:t xml:space="preserve"> الذي يشتري به التزام الشخص الآخر، ومن ثم يكون الالتزام بمقابل واجب النفاذ قانوناً</w:t>
      </w:r>
      <w:r w:rsidR="003E1E9A" w:rsidRPr="008C0FB5">
        <w:rPr>
          <w:rFonts w:cs="hashemi" w:hint="cs"/>
          <w:rtl/>
          <w:lang w:bidi="ar-IQ"/>
        </w:rPr>
        <w:t>.</w:t>
      </w:r>
    </w:p>
    <w:p w14:paraId="585F25D4" w14:textId="77777777" w:rsidR="0094067A" w:rsidRPr="008C0FB5" w:rsidRDefault="0094067A" w:rsidP="00C35031">
      <w:pPr>
        <w:pStyle w:val="35"/>
        <w:rPr>
          <w:rFonts w:hint="cs"/>
          <w:rtl/>
        </w:rPr>
      </w:pPr>
      <w:r w:rsidRPr="008C0FB5">
        <w:rPr>
          <w:rFonts w:hint="cs"/>
          <w:rtl/>
        </w:rPr>
        <w:t xml:space="preserve">وتعريف الاعتبار بأنه الثمن الذي يقدمه المدعي للحصول على التزام المدعى عليه، يبدو أفضل من الاصطلاح القانوني الذي ساد في القرن التاسع عشر حول المنفعة والضرر ذلك لأنه يسير الفهم، كما يعتبر أكثر ملائمة للتعبير عن التبادل الطبيعي للالتزامات، فضلاً عن انه يؤكد الصبغة التجارية للعقد في القانون </w:t>
      </w:r>
      <w:proofErr w:type="gramStart"/>
      <w:r w:rsidRPr="008C0FB5">
        <w:rPr>
          <w:rFonts w:hint="cs"/>
          <w:rtl/>
        </w:rPr>
        <w:t>الانكليزي</w:t>
      </w:r>
      <w:r w:rsidRPr="008C0FB5">
        <w:rPr>
          <w:rFonts w:cs="Saihat" w:hint="cs"/>
          <w:vertAlign w:val="superscript"/>
          <w:rtl/>
        </w:rPr>
        <w:t>(</w:t>
      </w:r>
      <w:proofErr w:type="gramEnd"/>
      <w:r w:rsidRPr="008C0FB5">
        <w:rPr>
          <w:rStyle w:val="af0"/>
          <w:rFonts w:cs="Saihat"/>
          <w:sz w:val="30"/>
          <w:rtl/>
        </w:rPr>
        <w:footnoteReference w:id="298"/>
      </w:r>
      <w:r w:rsidRPr="008C0FB5">
        <w:rPr>
          <w:rFonts w:cs="Saihat" w:hint="cs"/>
          <w:vertAlign w:val="superscript"/>
          <w:rtl/>
        </w:rPr>
        <w:t>)</w:t>
      </w:r>
      <w:r w:rsidRPr="008C0FB5">
        <w:rPr>
          <w:rFonts w:hint="cs"/>
          <w:rtl/>
        </w:rPr>
        <w:t>.</w:t>
      </w:r>
    </w:p>
    <w:p w14:paraId="553B2A61" w14:textId="77777777" w:rsidR="0094067A" w:rsidRPr="008C0FB5" w:rsidRDefault="0094067A" w:rsidP="00C253D0">
      <w:pPr>
        <w:pStyle w:val="af8"/>
        <w:rPr>
          <w:rFonts w:hint="cs"/>
          <w:rtl/>
        </w:rPr>
      </w:pPr>
      <w:bookmarkStart w:id="97" w:name="_Toc8643689"/>
      <w:r w:rsidRPr="008C0FB5">
        <w:rPr>
          <w:rFonts w:hint="cs"/>
          <w:rtl/>
        </w:rPr>
        <w:t xml:space="preserve">الفرع الثاني: </w:t>
      </w:r>
      <w:r w:rsidRPr="008C0FB5">
        <w:rPr>
          <w:rFonts w:hint="cs"/>
          <w:rtl/>
          <w:lang w:bidi="ar-IQ"/>
        </w:rPr>
        <w:t>أنواع الاعتـبار</w:t>
      </w:r>
      <w:bookmarkEnd w:id="97"/>
    </w:p>
    <w:p w14:paraId="59D5A873" w14:textId="77777777" w:rsidR="0094067A" w:rsidRPr="008C0FB5" w:rsidRDefault="0094067A" w:rsidP="00C35031">
      <w:pPr>
        <w:pStyle w:val="48"/>
        <w:rPr>
          <w:rFonts w:hint="cs"/>
          <w:rtl/>
        </w:rPr>
      </w:pPr>
      <w:r w:rsidRPr="008C0FB5">
        <w:rPr>
          <w:rFonts w:hint="cs"/>
          <w:rtl/>
        </w:rPr>
        <w:t xml:space="preserve">لقد ميز بعض الفقهاء بين الاعتبار الجيد والاعتبار ذي القيمة، بالقول بان الاعتبار الجيد هو الذي يقوم على الدم، أو الحب والتعلق الطبيعي، ويقوم على بواعث الكرم والجود والتبصر والحكمة، والواجب الطبيعي، ولذلك فهذا الاعتبار لا يكفي لوحده لاعتباره أساساً للالتزام، فمثلاً </w:t>
      </w:r>
      <w:r w:rsidRPr="008C0FB5">
        <w:rPr>
          <w:rFonts w:hint="cs"/>
          <w:rtl/>
        </w:rPr>
        <w:lastRenderedPageBreak/>
        <w:t xml:space="preserve">في عقد الهبة هي عقد قائد على اعتبارات الكرم والجود ورابطة الدم، فلذلك هذا العقد لا يمكن أن يكون عقداً رضائياً فقط ذلك انه قائم على اعتبار جيد فقط، أي اعتبار غير متقوم، ولذلك يجب أن يكون بصيغة عقد مختوم لإثبات </w:t>
      </w:r>
      <w:proofErr w:type="gramStart"/>
      <w:r w:rsidRPr="008C0FB5">
        <w:rPr>
          <w:rFonts w:hint="cs"/>
          <w:rtl/>
        </w:rPr>
        <w:t>مضمونه</w:t>
      </w:r>
      <w:r w:rsidRPr="008C0FB5">
        <w:rPr>
          <w:rFonts w:cs="Saihat" w:hint="cs"/>
          <w:vertAlign w:val="superscript"/>
          <w:rtl/>
        </w:rPr>
        <w:t>(</w:t>
      </w:r>
      <w:proofErr w:type="gramEnd"/>
      <w:r w:rsidRPr="008C0FB5">
        <w:rPr>
          <w:rStyle w:val="af0"/>
          <w:rFonts w:cs="Saihat"/>
          <w:sz w:val="30"/>
          <w:rtl/>
        </w:rPr>
        <w:footnoteReference w:id="299"/>
      </w:r>
      <w:r w:rsidRPr="008C0FB5">
        <w:rPr>
          <w:rFonts w:cs="Saihat" w:hint="cs"/>
          <w:vertAlign w:val="superscript"/>
          <w:rtl/>
        </w:rPr>
        <w:t>)</w:t>
      </w:r>
      <w:r w:rsidRPr="008C0FB5">
        <w:rPr>
          <w:rFonts w:hint="cs"/>
          <w:rtl/>
        </w:rPr>
        <w:t>.</w:t>
      </w:r>
    </w:p>
    <w:p w14:paraId="74AC1C1D" w14:textId="77777777" w:rsidR="0094067A" w:rsidRPr="008C0FB5" w:rsidRDefault="0094067A" w:rsidP="00C35031">
      <w:pPr>
        <w:pStyle w:val="35"/>
        <w:rPr>
          <w:rFonts w:hint="cs"/>
          <w:rtl/>
        </w:rPr>
      </w:pPr>
      <w:r w:rsidRPr="008C0FB5">
        <w:rPr>
          <w:rFonts w:hint="cs"/>
          <w:rtl/>
        </w:rPr>
        <w:t>أما الاعتبار ذو القيمة فهو الذي يقوم على المال والزواج أو ما شابه ذلك مما يعتبره القانون عوضاً يعطى في مقابل نقل الملكية.</w:t>
      </w:r>
    </w:p>
    <w:p w14:paraId="09BF8AA9" w14:textId="77777777" w:rsidR="0094067A" w:rsidRPr="008C0FB5" w:rsidRDefault="0094067A" w:rsidP="00C35031">
      <w:pPr>
        <w:pStyle w:val="35"/>
        <w:rPr>
          <w:rFonts w:hint="cs"/>
          <w:rtl/>
        </w:rPr>
      </w:pPr>
      <w:r w:rsidRPr="008C0FB5">
        <w:rPr>
          <w:rFonts w:hint="cs"/>
          <w:rtl/>
        </w:rPr>
        <w:t xml:space="preserve">ويميز سالموند ووينفليد أيضاً بين الاعتبار الجيد والاعتبار ذي القيمة، ويذهبان إلى ان كل اعتبار ذي قيمة هو اعتبار جيد ولا عكس، وإلى ان: </w:t>
      </w:r>
    </w:p>
    <w:p w14:paraId="14372E45" w14:textId="77777777" w:rsidR="0094067A" w:rsidRPr="008C0FB5" w:rsidRDefault="0094067A" w:rsidP="00A613BA">
      <w:pPr>
        <w:pStyle w:val="afffffff1"/>
        <w:rPr>
          <w:rFonts w:hint="cs"/>
          <w:rtl/>
        </w:rPr>
      </w:pPr>
      <w:r w:rsidRPr="008C0FB5">
        <w:rPr>
          <w:rFonts w:hint="cs"/>
          <w:rtl/>
        </w:rPr>
        <w:t xml:space="preserve">الاعتبار الوحيد الذي يصلح أن يكون أساساً يقوم عليه عقد بسيط إنما هو الاعتبار ذو القيمة </w:t>
      </w:r>
      <w:proofErr w:type="gramStart"/>
      <w:r w:rsidRPr="008C0FB5">
        <w:rPr>
          <w:rFonts w:hint="cs"/>
          <w:rtl/>
        </w:rPr>
        <w:t>فقط</w:t>
      </w:r>
      <w:r w:rsidRPr="008C0FB5">
        <w:rPr>
          <w:rFonts w:hint="cs"/>
          <w:szCs w:val="30"/>
          <w:vertAlign w:val="superscript"/>
          <w:rtl/>
        </w:rPr>
        <w:t>(</w:t>
      </w:r>
      <w:proofErr w:type="gramEnd"/>
      <w:r w:rsidRPr="008C0FB5">
        <w:rPr>
          <w:rStyle w:val="af0"/>
          <w:sz w:val="30"/>
          <w:szCs w:val="30"/>
          <w:rtl/>
        </w:rPr>
        <w:footnoteReference w:id="300"/>
      </w:r>
      <w:r w:rsidRPr="008C0FB5">
        <w:rPr>
          <w:rFonts w:hint="cs"/>
          <w:szCs w:val="30"/>
          <w:vertAlign w:val="superscript"/>
          <w:rtl/>
        </w:rPr>
        <w:t>)</w:t>
      </w:r>
      <w:r w:rsidRPr="008C0FB5">
        <w:rPr>
          <w:rFonts w:hint="cs"/>
          <w:rtl/>
        </w:rPr>
        <w:t>.</w:t>
      </w:r>
    </w:p>
    <w:p w14:paraId="23F6BB60" w14:textId="77777777" w:rsidR="0094067A" w:rsidRPr="008C0FB5" w:rsidRDefault="0094067A" w:rsidP="00C35031">
      <w:pPr>
        <w:pStyle w:val="35"/>
        <w:rPr>
          <w:rFonts w:hint="cs"/>
          <w:rtl/>
        </w:rPr>
      </w:pPr>
      <w:r w:rsidRPr="008C0FB5">
        <w:rPr>
          <w:rFonts w:hint="cs"/>
          <w:rtl/>
        </w:rPr>
        <w:t xml:space="preserve">إلا ان هذه القاعدة لا تؤخذ على إطلاقها، فقد اعترف القانون ببعض العقود مع ان الاعتبار فيها غير متقوم، إلا انها </w:t>
      </w:r>
      <w:proofErr w:type="gramStart"/>
      <w:r w:rsidRPr="008C0FB5">
        <w:rPr>
          <w:rFonts w:hint="cs"/>
          <w:rtl/>
        </w:rPr>
        <w:t>جيدة</w:t>
      </w:r>
      <w:r w:rsidRPr="008C0FB5">
        <w:rPr>
          <w:rFonts w:cs="Saihat" w:hint="cs"/>
          <w:vertAlign w:val="superscript"/>
          <w:rtl/>
        </w:rPr>
        <w:t>(</w:t>
      </w:r>
      <w:proofErr w:type="gramEnd"/>
      <w:r w:rsidRPr="008C0FB5">
        <w:rPr>
          <w:rStyle w:val="af0"/>
          <w:rFonts w:cs="Saihat"/>
          <w:sz w:val="30"/>
          <w:rtl/>
        </w:rPr>
        <w:footnoteReference w:id="301"/>
      </w:r>
      <w:r w:rsidRPr="008C0FB5">
        <w:rPr>
          <w:rFonts w:cs="Saihat" w:hint="cs"/>
          <w:vertAlign w:val="superscript"/>
          <w:rtl/>
        </w:rPr>
        <w:t>)</w:t>
      </w:r>
      <w:r w:rsidRPr="008C0FB5">
        <w:rPr>
          <w:rFonts w:hint="cs"/>
          <w:rtl/>
        </w:rPr>
        <w:t>.</w:t>
      </w:r>
    </w:p>
    <w:p w14:paraId="4B7F0F17" w14:textId="77777777" w:rsidR="0094067A" w:rsidRPr="008C0FB5" w:rsidRDefault="008C0FB5" w:rsidP="00C253D0">
      <w:pPr>
        <w:pStyle w:val="a1"/>
        <w:rPr>
          <w:rFonts w:hint="cs"/>
          <w:rtl/>
        </w:rPr>
      </w:pPr>
      <w:r w:rsidRPr="008C0FB5">
        <w:rPr>
          <w:rtl/>
        </w:rPr>
        <w:br w:type="page"/>
      </w:r>
      <w:bookmarkStart w:id="98" w:name="_Toc8643690"/>
      <w:r w:rsidR="0094067A" w:rsidRPr="008C0FB5">
        <w:rPr>
          <w:rFonts w:hint="cs"/>
          <w:rtl/>
        </w:rPr>
        <w:lastRenderedPageBreak/>
        <w:t>المطلب الثاني: شروط الاعتبار وخصائصه</w:t>
      </w:r>
      <w:bookmarkEnd w:id="98"/>
    </w:p>
    <w:p w14:paraId="6472CE8E" w14:textId="77777777" w:rsidR="0094067A" w:rsidRPr="008C0FB5" w:rsidRDefault="0094067A" w:rsidP="00C35031">
      <w:pPr>
        <w:pStyle w:val="48"/>
        <w:rPr>
          <w:rFonts w:hint="cs"/>
          <w:rtl/>
        </w:rPr>
      </w:pPr>
      <w:r w:rsidRPr="008C0FB5">
        <w:rPr>
          <w:rFonts w:hint="cs"/>
          <w:rtl/>
        </w:rPr>
        <w:t>سنتناول في هذا المطلب الشروط الواجب توافرها للاعتبار للاعتداد به، وهذا ما سنتناوله في الفرع الأول أما الفرع الثاني فقد خصصناه لبيان الخصائص المميزة للاعتبار.</w:t>
      </w:r>
    </w:p>
    <w:p w14:paraId="236AF853" w14:textId="77777777" w:rsidR="0094067A" w:rsidRPr="008C0FB5" w:rsidRDefault="0094067A" w:rsidP="00C253D0">
      <w:pPr>
        <w:pStyle w:val="af8"/>
        <w:rPr>
          <w:rFonts w:hint="cs"/>
          <w:rtl/>
          <w:lang w:bidi="ar-IQ"/>
        </w:rPr>
      </w:pPr>
      <w:bookmarkStart w:id="99" w:name="_Toc8643691"/>
      <w:r w:rsidRPr="008C0FB5">
        <w:rPr>
          <w:rFonts w:hint="cs"/>
          <w:rtl/>
          <w:lang w:bidi="ar-IQ"/>
        </w:rPr>
        <w:t>الفرع الأول: شروط الاعتبار</w:t>
      </w:r>
      <w:bookmarkEnd w:id="99"/>
    </w:p>
    <w:p w14:paraId="59C560B7" w14:textId="77777777" w:rsidR="0094067A" w:rsidRPr="008C0FB5" w:rsidRDefault="0094067A" w:rsidP="008C0FB5">
      <w:pPr>
        <w:pStyle w:val="48"/>
        <w:spacing w:line="240" w:lineRule="auto"/>
        <w:rPr>
          <w:rFonts w:hint="cs"/>
          <w:rtl/>
        </w:rPr>
      </w:pPr>
      <w:r w:rsidRPr="008C0FB5">
        <w:rPr>
          <w:rFonts w:hint="cs"/>
          <w:rtl/>
        </w:rPr>
        <w:t xml:space="preserve">لقد تبين لنا مما سبق ان الاعتبار جوهرياً في تكوين العقد البسيط في القانون الانكليزي والاعتبار </w:t>
      </w:r>
      <w:r w:rsidRPr="008C0FB5">
        <w:rPr>
          <w:rFonts w:ascii="Times New Roman" w:hAnsi="Times New Roman" w:cs="Times New Roman" w:hint="cs"/>
          <w:rtl/>
        </w:rPr>
        <w:t>–</w:t>
      </w:r>
      <w:r w:rsidRPr="008C0FB5">
        <w:rPr>
          <w:rFonts w:hint="cs"/>
          <w:rtl/>
        </w:rPr>
        <w:t xml:space="preserve"> كما قلنا سابقاً </w:t>
      </w:r>
      <w:r w:rsidRPr="008C0FB5">
        <w:rPr>
          <w:rFonts w:ascii="Times New Roman" w:hAnsi="Times New Roman" w:cs="Times New Roman" w:hint="cs"/>
          <w:rtl/>
        </w:rPr>
        <w:t>–</w:t>
      </w:r>
      <w:r w:rsidRPr="008C0FB5">
        <w:rPr>
          <w:rFonts w:hint="cs"/>
          <w:rtl/>
        </w:rPr>
        <w:t xml:space="preserve"> انه ثمناً للوعد، هذا الاعتبار أياً كانت صورته ينبغي أن يستوفي شروط معينة هذه الشروط هي:</w:t>
      </w:r>
    </w:p>
    <w:p w14:paraId="041C4126" w14:textId="77777777" w:rsidR="0094067A" w:rsidRPr="008C0FB5" w:rsidRDefault="0094067A" w:rsidP="008C0FB5">
      <w:pPr>
        <w:pStyle w:val="48"/>
        <w:numPr>
          <w:ilvl w:val="0"/>
          <w:numId w:val="31"/>
        </w:numPr>
        <w:spacing w:line="240" w:lineRule="auto"/>
        <w:rPr>
          <w:rFonts w:hint="cs"/>
          <w:rtl/>
        </w:rPr>
      </w:pPr>
      <w:proofErr w:type="gramStart"/>
      <w:r w:rsidRPr="008C0FB5">
        <w:rPr>
          <w:rFonts w:hint="cs"/>
          <w:rtl/>
        </w:rPr>
        <w:t>أن لا</w:t>
      </w:r>
      <w:proofErr w:type="gramEnd"/>
      <w:r w:rsidRPr="008C0FB5">
        <w:rPr>
          <w:rFonts w:hint="cs"/>
          <w:rtl/>
        </w:rPr>
        <w:t xml:space="preserve"> يكون ماضياً، أي سابقاً على التعاقد.</w:t>
      </w:r>
    </w:p>
    <w:p w14:paraId="4AFBFB29" w14:textId="77777777" w:rsidR="0094067A" w:rsidRPr="008C0FB5" w:rsidRDefault="0094067A" w:rsidP="008C0FB5">
      <w:pPr>
        <w:pStyle w:val="48"/>
        <w:numPr>
          <w:ilvl w:val="0"/>
          <w:numId w:val="31"/>
        </w:numPr>
        <w:spacing w:line="240" w:lineRule="auto"/>
        <w:rPr>
          <w:rFonts w:hint="cs"/>
          <w:rtl/>
        </w:rPr>
      </w:pPr>
      <w:r w:rsidRPr="008C0FB5">
        <w:rPr>
          <w:rFonts w:hint="cs"/>
          <w:rtl/>
        </w:rPr>
        <w:t>أن يصدر عن المتعهد له.</w:t>
      </w:r>
    </w:p>
    <w:p w14:paraId="3FDF421D" w14:textId="77777777" w:rsidR="0094067A" w:rsidRPr="008C0FB5" w:rsidRDefault="0094067A" w:rsidP="008C0FB5">
      <w:pPr>
        <w:pStyle w:val="48"/>
        <w:numPr>
          <w:ilvl w:val="0"/>
          <w:numId w:val="31"/>
        </w:numPr>
        <w:spacing w:line="240" w:lineRule="auto"/>
        <w:rPr>
          <w:rFonts w:hint="cs"/>
          <w:rtl/>
        </w:rPr>
      </w:pPr>
      <w:r w:rsidRPr="008C0FB5">
        <w:rPr>
          <w:rFonts w:hint="cs"/>
          <w:rtl/>
        </w:rPr>
        <w:t>أن يكون ذا قيمة في نظر القانون.</w:t>
      </w:r>
    </w:p>
    <w:p w14:paraId="72F833CA" w14:textId="77777777" w:rsidR="0094067A" w:rsidRPr="008C0FB5" w:rsidRDefault="0094067A" w:rsidP="008C0FB5">
      <w:pPr>
        <w:pStyle w:val="48"/>
        <w:numPr>
          <w:ilvl w:val="0"/>
          <w:numId w:val="31"/>
        </w:numPr>
        <w:spacing w:line="240" w:lineRule="auto"/>
        <w:rPr>
          <w:rFonts w:hint="cs"/>
          <w:rtl/>
        </w:rPr>
      </w:pPr>
      <w:r w:rsidRPr="008C0FB5">
        <w:rPr>
          <w:rFonts w:hint="cs"/>
          <w:rtl/>
        </w:rPr>
        <w:t>أن يكون مؤكداً، ومشروعاً.</w:t>
      </w:r>
    </w:p>
    <w:p w14:paraId="36E7C3BF" w14:textId="77777777" w:rsidR="0094067A" w:rsidRPr="008C0FB5" w:rsidRDefault="0094067A" w:rsidP="008C0FB5">
      <w:pPr>
        <w:pStyle w:val="35"/>
        <w:spacing w:line="240" w:lineRule="auto"/>
        <w:rPr>
          <w:rFonts w:hint="cs"/>
          <w:rtl/>
        </w:rPr>
      </w:pPr>
      <w:r w:rsidRPr="008C0FB5">
        <w:rPr>
          <w:rFonts w:hint="cs"/>
          <w:rtl/>
        </w:rPr>
        <w:t xml:space="preserve">أولاً: </w:t>
      </w:r>
      <w:proofErr w:type="gramStart"/>
      <w:r w:rsidRPr="008C0FB5">
        <w:rPr>
          <w:rFonts w:hint="cs"/>
          <w:rtl/>
        </w:rPr>
        <w:t>أن لا</w:t>
      </w:r>
      <w:proofErr w:type="gramEnd"/>
      <w:r w:rsidRPr="008C0FB5">
        <w:rPr>
          <w:rFonts w:hint="cs"/>
          <w:rtl/>
        </w:rPr>
        <w:t xml:space="preserve"> يكون ماضياً، أي سابقاً على التعهد:</w:t>
      </w:r>
    </w:p>
    <w:p w14:paraId="744D377F" w14:textId="77777777" w:rsidR="0094067A" w:rsidRPr="008C0FB5" w:rsidRDefault="0094067A" w:rsidP="008C0FB5">
      <w:pPr>
        <w:pStyle w:val="35"/>
        <w:spacing w:line="240" w:lineRule="auto"/>
        <w:rPr>
          <w:rFonts w:hint="cs"/>
          <w:rtl/>
        </w:rPr>
      </w:pPr>
      <w:r w:rsidRPr="008C0FB5">
        <w:rPr>
          <w:rFonts w:hint="cs"/>
          <w:rtl/>
        </w:rPr>
        <w:t xml:space="preserve">لقد جرى القضاء على تقسيم الاعتبار إلى الاعتبار الحاضر والاعتبار المستقبل والاعتبار الماضي، ويصلح النوعين الأولين من الاعتبار كأساس لانعقاد العقد أما النوع الثالث أي الاعتبار الماضي فانه لا يصلح أن يكون أساساً لإنشاء </w:t>
      </w:r>
      <w:proofErr w:type="gramStart"/>
      <w:r w:rsidRPr="008C0FB5">
        <w:rPr>
          <w:rFonts w:hint="cs"/>
          <w:rtl/>
        </w:rPr>
        <w:t>العقد</w:t>
      </w:r>
      <w:r w:rsidRPr="008C0FB5">
        <w:rPr>
          <w:rFonts w:cs="Saihat" w:hint="cs"/>
          <w:vertAlign w:val="superscript"/>
          <w:rtl/>
        </w:rPr>
        <w:t>(</w:t>
      </w:r>
      <w:proofErr w:type="gramEnd"/>
      <w:r w:rsidRPr="008C0FB5">
        <w:rPr>
          <w:rStyle w:val="af0"/>
          <w:rFonts w:cs="Saihat"/>
          <w:sz w:val="30"/>
          <w:rtl/>
        </w:rPr>
        <w:footnoteReference w:id="302"/>
      </w:r>
      <w:r w:rsidRPr="008C0FB5">
        <w:rPr>
          <w:rFonts w:cs="Saihat" w:hint="cs"/>
          <w:vertAlign w:val="superscript"/>
          <w:rtl/>
        </w:rPr>
        <w:t>)</w:t>
      </w:r>
      <w:r w:rsidRPr="008C0FB5">
        <w:rPr>
          <w:rFonts w:hint="cs"/>
          <w:rtl/>
        </w:rPr>
        <w:t>.</w:t>
      </w:r>
    </w:p>
    <w:p w14:paraId="5156FD6B" w14:textId="77777777" w:rsidR="0094067A" w:rsidRPr="008C0FB5" w:rsidRDefault="0094067A" w:rsidP="008C0FB5">
      <w:pPr>
        <w:pStyle w:val="35"/>
        <w:spacing w:line="240" w:lineRule="auto"/>
        <w:rPr>
          <w:rFonts w:hint="cs"/>
          <w:rtl/>
        </w:rPr>
      </w:pPr>
      <w:r w:rsidRPr="008C0FB5">
        <w:rPr>
          <w:rFonts w:hint="cs"/>
          <w:rtl/>
        </w:rPr>
        <w:t xml:space="preserve">فالاعتبار الحاضر يكون كذلك في حالة ما إذا صدر التزام المدعى عليه في مواجهة التزام المدعي، ويعتبر السبب منفذاً في حالة ما إذا صدر الالتزام في عمل تم تنفيذه من الطرف الآخر، فمثلاً عقد الخطبة أو الاتفاق على البيع بشرط أن يكون التسليم أو دفع الثمن مؤجلاً، ففي هذه الحالة يتراخى تنفيذ الالتزامات التبادلية التي يتكون منها التصرف القانوني، وبعبارة أخرى يظل التصرف كله رهن التنفيذ في </w:t>
      </w:r>
      <w:proofErr w:type="gramStart"/>
      <w:r w:rsidRPr="008C0FB5">
        <w:rPr>
          <w:rFonts w:hint="cs"/>
          <w:rtl/>
        </w:rPr>
        <w:t>المستقبل</w:t>
      </w:r>
      <w:r w:rsidRPr="008C0FB5">
        <w:rPr>
          <w:rFonts w:cs="Saihat" w:hint="cs"/>
          <w:vertAlign w:val="superscript"/>
          <w:rtl/>
        </w:rPr>
        <w:t>(</w:t>
      </w:r>
      <w:proofErr w:type="gramEnd"/>
      <w:r w:rsidRPr="008C0FB5">
        <w:rPr>
          <w:rStyle w:val="af0"/>
          <w:rFonts w:cs="Saihat"/>
          <w:sz w:val="30"/>
          <w:rtl/>
        </w:rPr>
        <w:footnoteReference w:id="303"/>
      </w:r>
      <w:r w:rsidRPr="008C0FB5">
        <w:rPr>
          <w:rFonts w:cs="Saihat" w:hint="cs"/>
          <w:vertAlign w:val="superscript"/>
          <w:rtl/>
        </w:rPr>
        <w:t>)</w:t>
      </w:r>
      <w:r w:rsidRPr="008C0FB5">
        <w:rPr>
          <w:rFonts w:hint="cs"/>
          <w:rtl/>
        </w:rPr>
        <w:t>.</w:t>
      </w:r>
    </w:p>
    <w:p w14:paraId="1144DC7F" w14:textId="77777777" w:rsidR="0094067A" w:rsidRPr="008C0FB5" w:rsidRDefault="0094067A" w:rsidP="00C35031">
      <w:pPr>
        <w:pStyle w:val="35"/>
        <w:rPr>
          <w:rFonts w:hint="cs"/>
          <w:rtl/>
        </w:rPr>
      </w:pPr>
      <w:r w:rsidRPr="008C0FB5">
        <w:rPr>
          <w:rFonts w:hint="cs"/>
          <w:rtl/>
        </w:rPr>
        <w:t xml:space="preserve">أما الاعتبار المستقبلي فلعل خير مثال له هو اعتبار الوعد بإعطاء جائزة لدى القيام </w:t>
      </w:r>
      <w:proofErr w:type="gramStart"/>
      <w:r w:rsidRPr="008C0FB5">
        <w:rPr>
          <w:rFonts w:hint="cs"/>
          <w:rtl/>
        </w:rPr>
        <w:t>بعمل</w:t>
      </w:r>
      <w:r w:rsidRPr="008C0FB5">
        <w:rPr>
          <w:rFonts w:cs="Saihat" w:hint="cs"/>
          <w:vertAlign w:val="superscript"/>
          <w:rtl/>
        </w:rPr>
        <w:t>(</w:t>
      </w:r>
      <w:proofErr w:type="gramEnd"/>
      <w:r w:rsidRPr="008C0FB5">
        <w:rPr>
          <w:rStyle w:val="af0"/>
          <w:rFonts w:cs="Saihat"/>
          <w:sz w:val="30"/>
          <w:rtl/>
        </w:rPr>
        <w:footnoteReference w:id="304"/>
      </w:r>
      <w:r w:rsidRPr="008C0FB5">
        <w:rPr>
          <w:rFonts w:cs="Saihat" w:hint="cs"/>
          <w:vertAlign w:val="superscript"/>
          <w:rtl/>
        </w:rPr>
        <w:t>)</w:t>
      </w:r>
      <w:r w:rsidRPr="008C0FB5">
        <w:rPr>
          <w:rFonts w:hint="cs"/>
          <w:rtl/>
        </w:rPr>
        <w:t xml:space="preserve">.  </w:t>
      </w:r>
    </w:p>
    <w:p w14:paraId="19CBB9D3" w14:textId="77777777" w:rsidR="0094067A" w:rsidRPr="008C0FB5" w:rsidRDefault="0094067A" w:rsidP="00C35031">
      <w:pPr>
        <w:pStyle w:val="35"/>
        <w:rPr>
          <w:rFonts w:hint="cs"/>
          <w:rtl/>
        </w:rPr>
      </w:pPr>
      <w:r w:rsidRPr="008C0FB5">
        <w:rPr>
          <w:rFonts w:hint="cs"/>
          <w:rtl/>
        </w:rPr>
        <w:t xml:space="preserve">أما بالنسبة للنوع الأخير وهو الاعتبار الماضي، فهو الاعتبار الذي تم كلياً قبل التعهد، وهذا الاعتبار الأخير لا يعتبره القضاء اعتباراً جيداً أي انه لا يصلح أساساً لإنشاء العقد، وخير دليل على ذلك قضية (مك </w:t>
      </w:r>
      <w:proofErr w:type="gramStart"/>
      <w:r w:rsidRPr="008C0FB5">
        <w:rPr>
          <w:rFonts w:hint="cs"/>
          <w:rtl/>
        </w:rPr>
        <w:t>ارديل)</w:t>
      </w:r>
      <w:r w:rsidRPr="008C0FB5">
        <w:rPr>
          <w:rFonts w:cs="Saihat" w:hint="cs"/>
          <w:vertAlign w:val="superscript"/>
          <w:rtl/>
        </w:rPr>
        <w:t>(</w:t>
      </w:r>
      <w:proofErr w:type="gramEnd"/>
      <w:r w:rsidRPr="008C0FB5">
        <w:rPr>
          <w:rStyle w:val="af0"/>
          <w:rFonts w:cs="Saihat"/>
          <w:sz w:val="30"/>
          <w:rtl/>
        </w:rPr>
        <w:footnoteReference w:id="305"/>
      </w:r>
      <w:r w:rsidRPr="008C0FB5">
        <w:rPr>
          <w:rFonts w:cs="Saihat" w:hint="cs"/>
          <w:vertAlign w:val="superscript"/>
          <w:rtl/>
        </w:rPr>
        <w:t>)</w:t>
      </w:r>
      <w:r w:rsidRPr="008C0FB5">
        <w:rPr>
          <w:rFonts w:hint="cs"/>
          <w:rtl/>
        </w:rPr>
        <w:t xml:space="preserve"> والتي تتلخص وقائعها فيما يلي:      </w:t>
      </w:r>
    </w:p>
    <w:p w14:paraId="37A48448" w14:textId="77777777" w:rsidR="0094067A" w:rsidRPr="008C0FB5" w:rsidRDefault="0094067A" w:rsidP="00A613BA">
      <w:pPr>
        <w:pStyle w:val="afffffff1"/>
        <w:rPr>
          <w:rFonts w:hint="cs"/>
          <w:rtl/>
        </w:rPr>
      </w:pPr>
      <w:r w:rsidRPr="008C0FB5">
        <w:rPr>
          <w:rFonts w:hint="cs"/>
          <w:rtl/>
        </w:rPr>
        <w:t xml:space="preserve">انتقلت إلى عدد من الأخوة بعد وفاة والدتهم ملكية منزل بمقتضى وصية صادرة من والدهم، كان أحد أولئك الأخوة مقيماً وزوجته بذلك المنزل مع والدته أثناء حياتها، قامت زوجة ذلك الابن بعمل إصلاحات كثيرة في المنزل، وفي تاريخ لاحق لذلك وقع أخوة زوجها جميعهم على محرر ذكروا فيه: </w:t>
      </w:r>
    </w:p>
    <w:p w14:paraId="3D739393" w14:textId="77777777" w:rsidR="0094067A" w:rsidRPr="008C0FB5" w:rsidRDefault="0094067A" w:rsidP="00A613BA">
      <w:pPr>
        <w:pStyle w:val="afffffff1"/>
        <w:rPr>
          <w:rFonts w:hint="cs"/>
          <w:rtl/>
        </w:rPr>
      </w:pPr>
      <w:r w:rsidRPr="008C0FB5">
        <w:rPr>
          <w:rFonts w:hint="cs"/>
          <w:rtl/>
        </w:rPr>
        <w:t>في مقابل قيامك بتغيرات وإصلاحات معينة في المنزل، فاننا بموجب هذا نوافق على أن يقوم منفذ الوصية برد مبلغ 488 جنيهاً لك من أموال التركة لدى توزيعها، وذلك وفاءاً لما صرفت في سبيل تلك الإصلاحات</w:t>
      </w:r>
      <w:r w:rsidR="003E1E9A" w:rsidRPr="008C0FB5">
        <w:rPr>
          <w:rFonts w:cs="hashemi" w:hint="cs"/>
          <w:rtl/>
          <w:lang w:bidi="ar-IQ"/>
        </w:rPr>
        <w:t>.</w:t>
      </w:r>
    </w:p>
    <w:p w14:paraId="15F14AF1" w14:textId="77777777" w:rsidR="0094067A" w:rsidRPr="008C0FB5" w:rsidRDefault="0094067A" w:rsidP="00C35031">
      <w:pPr>
        <w:pStyle w:val="35"/>
        <w:rPr>
          <w:rFonts w:hint="cs"/>
          <w:rtl/>
        </w:rPr>
      </w:pPr>
      <w:r w:rsidRPr="008C0FB5">
        <w:rPr>
          <w:rFonts w:hint="cs"/>
          <w:rtl/>
        </w:rPr>
        <w:t xml:space="preserve">وورد في حيثيات حكم محكمة الاستئناف بأنه لما كانت جميع الإصلاحات بالمنزل قد تمت </w:t>
      </w:r>
      <w:r w:rsidRPr="008C0FB5">
        <w:rPr>
          <w:rFonts w:hint="cs"/>
          <w:rtl/>
        </w:rPr>
        <w:lastRenderedPageBreak/>
        <w:t>من قبل تحرير المستند الموقع من جانب الأخوة فان وعدهم بالدفع يقوم على سبب ماضٍ أي انه ليس له ما يحمل عليه قانوناً، ومن ثم لا يعتبر الوعد ملزماً.</w:t>
      </w:r>
    </w:p>
    <w:p w14:paraId="64D4BF8A" w14:textId="77777777" w:rsidR="0094067A" w:rsidRPr="008C0FB5" w:rsidRDefault="0094067A" w:rsidP="00C35031">
      <w:pPr>
        <w:pStyle w:val="35"/>
        <w:rPr>
          <w:rFonts w:hint="cs"/>
          <w:rtl/>
        </w:rPr>
      </w:pPr>
      <w:r w:rsidRPr="008C0FB5">
        <w:rPr>
          <w:rFonts w:hint="cs"/>
          <w:rtl/>
        </w:rPr>
        <w:t>وأود أن أنبه إلى انه سواء قدّم الموعود للواعد مقابلاً منجزاً أو مستقبلاً، فانه يجب أن يكون (الموعود له) قادراً على إثبات ان ما قدّمه مقابلاً، عملاً أو امتناعاً عن وعد بذلك إنما يكون جزءاً في صفقة مع الواعد باعتبار ما قدّمه.</w:t>
      </w:r>
    </w:p>
    <w:p w14:paraId="50C4EF9E" w14:textId="77777777" w:rsidR="0094067A" w:rsidRPr="008C0FB5" w:rsidRDefault="0094067A" w:rsidP="00C35031">
      <w:pPr>
        <w:pStyle w:val="48"/>
        <w:rPr>
          <w:rFonts w:hint="cs"/>
          <w:rtl/>
        </w:rPr>
      </w:pPr>
      <w:r w:rsidRPr="008C0FB5">
        <w:rPr>
          <w:rFonts w:hint="cs"/>
          <w:b/>
          <w:bCs/>
          <w:rtl/>
        </w:rPr>
        <w:t>ثانياً: أن يصدر عن المتعهد له:</w:t>
      </w:r>
    </w:p>
    <w:p w14:paraId="2E295C1D" w14:textId="77777777" w:rsidR="0094067A" w:rsidRPr="008C0FB5" w:rsidRDefault="0094067A" w:rsidP="00C35031">
      <w:pPr>
        <w:pStyle w:val="48"/>
        <w:rPr>
          <w:rFonts w:hint="cs"/>
          <w:rtl/>
        </w:rPr>
      </w:pPr>
      <w:proofErr w:type="gramStart"/>
      <w:r w:rsidRPr="008C0FB5">
        <w:rPr>
          <w:rFonts w:hint="cs"/>
          <w:rtl/>
        </w:rPr>
        <w:t>والشرط  الثاني</w:t>
      </w:r>
      <w:proofErr w:type="gramEnd"/>
      <w:r w:rsidRPr="008C0FB5">
        <w:rPr>
          <w:rFonts w:hint="cs"/>
          <w:rtl/>
        </w:rPr>
        <w:t xml:space="preserve"> الذي يجب توافره هو أن يصدر الاعتبار من المتعهد له، وذلك دعماً للدعوى التي يرفعها الموعود له، ذلك نظراً لتشدد القضاء في ذلك، فعندما ألغيت المطابقة بين الوعد والثمن الذي يقدمه الشخص الثالث أصر القضاء على القول بأن الشخص الذي دفع ثمن الوعد هو وحده الذي يستطيع رفع الدعوى على الواعد</w:t>
      </w:r>
      <w:r w:rsidRPr="008C0FB5">
        <w:rPr>
          <w:rFonts w:cs="Saihat" w:hint="cs"/>
          <w:vertAlign w:val="superscript"/>
          <w:rtl/>
        </w:rPr>
        <w:t>(</w:t>
      </w:r>
      <w:r w:rsidRPr="008C0FB5">
        <w:rPr>
          <w:rStyle w:val="af0"/>
          <w:rFonts w:cs="Saihat"/>
          <w:sz w:val="30"/>
          <w:rtl/>
        </w:rPr>
        <w:footnoteReference w:id="306"/>
      </w:r>
      <w:r w:rsidRPr="008C0FB5">
        <w:rPr>
          <w:rFonts w:cs="Saihat" w:hint="cs"/>
          <w:vertAlign w:val="superscript"/>
          <w:rtl/>
        </w:rPr>
        <w:t>)</w:t>
      </w:r>
      <w:r w:rsidRPr="008C0FB5">
        <w:rPr>
          <w:rFonts w:hint="cs"/>
          <w:rtl/>
        </w:rPr>
        <w:t>.</w:t>
      </w:r>
    </w:p>
    <w:p w14:paraId="03BF849A" w14:textId="77777777" w:rsidR="0094067A" w:rsidRPr="008C0FB5" w:rsidRDefault="0094067A" w:rsidP="00C35031">
      <w:pPr>
        <w:pStyle w:val="35"/>
        <w:rPr>
          <w:rFonts w:hint="cs"/>
          <w:rtl/>
        </w:rPr>
      </w:pPr>
      <w:r w:rsidRPr="008C0FB5">
        <w:rPr>
          <w:rFonts w:hint="cs"/>
          <w:rtl/>
        </w:rPr>
        <w:t>ولعل الحكمة من هذا الشرط تكمن في تحديد معيار للمقابل وتقديره، إذ إن معيار الاعتبار يكمن في الضرر الذي يتحمله الموعود له، بغض النظر عن الزاوية التي ينظر من خلالها لتحديد ضرر مثل هذا، أي سواء نظرنا إلى الضرر من زاوي ما تخلى عنه الموعود له أو من زاوية الفائدة التي حصل عليها الواعد ففي الحالتين ثمة ضرراً أصاب الموعود به، وهذا لا يكون إلا إذا قام الموعود به بتقديم الاعتبار، وهنا تتجلى حكمة هذا الشرط وذلك لأن الاعتبار في أغلب الأحيان يقاس من زاوية الموعود له أي من زاوية الضرر الذي يتحمله الموعود له.</w:t>
      </w:r>
    </w:p>
    <w:p w14:paraId="654EC708" w14:textId="77777777" w:rsidR="0094067A" w:rsidRPr="008C0FB5" w:rsidRDefault="0094067A" w:rsidP="00C35031">
      <w:pPr>
        <w:pStyle w:val="48"/>
        <w:rPr>
          <w:rFonts w:hint="cs"/>
          <w:rtl/>
        </w:rPr>
      </w:pPr>
      <w:r w:rsidRPr="008C0FB5">
        <w:rPr>
          <w:rFonts w:hint="cs"/>
          <w:b/>
          <w:bCs/>
          <w:rtl/>
        </w:rPr>
        <w:t>ثالثاً: أن يكون ذا قيمة في نظر القانون:</w:t>
      </w:r>
    </w:p>
    <w:p w14:paraId="1A367BDD" w14:textId="77777777" w:rsidR="0094067A" w:rsidRPr="008C0FB5" w:rsidRDefault="0094067A" w:rsidP="00C35031">
      <w:pPr>
        <w:pStyle w:val="48"/>
        <w:rPr>
          <w:rFonts w:hint="cs"/>
          <w:rtl/>
        </w:rPr>
      </w:pPr>
      <w:r w:rsidRPr="008C0FB5">
        <w:rPr>
          <w:rFonts w:hint="cs"/>
          <w:rtl/>
        </w:rPr>
        <w:t xml:space="preserve">ويبنى على هذا ان الاعتبارات الأدبية والعاطفية لا تصلح أن تكون اعتباراً في العقد البسيط، وإذا أريد إضفاء القوة الملزمة على عقد كان الاعتبار فيه من الاعتبارات الأدبية فانه يجب أن يستوفي الشكل الذي يقرره </w:t>
      </w:r>
      <w:proofErr w:type="gramStart"/>
      <w:r w:rsidRPr="008C0FB5">
        <w:rPr>
          <w:rFonts w:hint="cs"/>
          <w:rtl/>
        </w:rPr>
        <w:t>القانون</w:t>
      </w:r>
      <w:r w:rsidRPr="008C0FB5">
        <w:rPr>
          <w:rFonts w:cs="Saihat" w:hint="cs"/>
          <w:vertAlign w:val="superscript"/>
          <w:rtl/>
        </w:rPr>
        <w:t>(</w:t>
      </w:r>
      <w:proofErr w:type="gramEnd"/>
      <w:r w:rsidRPr="008C0FB5">
        <w:rPr>
          <w:rStyle w:val="af0"/>
          <w:rFonts w:cs="Saihat"/>
          <w:sz w:val="30"/>
          <w:rtl/>
        </w:rPr>
        <w:footnoteReference w:id="307"/>
      </w:r>
      <w:r w:rsidRPr="008C0FB5">
        <w:rPr>
          <w:rFonts w:cs="Saihat" w:hint="cs"/>
          <w:vertAlign w:val="superscript"/>
          <w:rtl/>
        </w:rPr>
        <w:t>)</w:t>
      </w:r>
      <w:r w:rsidRPr="008C0FB5">
        <w:rPr>
          <w:rFonts w:hint="cs"/>
          <w:rtl/>
        </w:rPr>
        <w:t>.</w:t>
      </w:r>
    </w:p>
    <w:p w14:paraId="373A8DB9" w14:textId="77777777" w:rsidR="0094067A" w:rsidRPr="008C0FB5" w:rsidRDefault="0094067A" w:rsidP="00C35031">
      <w:pPr>
        <w:pStyle w:val="35"/>
        <w:rPr>
          <w:rFonts w:hint="cs"/>
          <w:rtl/>
        </w:rPr>
      </w:pPr>
      <w:r w:rsidRPr="008C0FB5">
        <w:rPr>
          <w:rFonts w:hint="cs"/>
          <w:rtl/>
        </w:rPr>
        <w:t>ويتفرع عن هذا الشرط ان الاعتبار يجب أن لا يكون وهمياً وإن كان لا يشترط فيه أن يكون معادلاً لقيمة التعهد، فلا يهتم القضاء الانكليزي بقيمة التعهد بقدر اهتمامه بوجود اعتبار معين إذ يكون الاعتبار أقل بكثير من قيمة التعهد</w:t>
      </w:r>
      <w:r w:rsidRPr="008C0FB5">
        <w:rPr>
          <w:rFonts w:cs="Saihat" w:hint="cs"/>
          <w:vertAlign w:val="superscript"/>
          <w:rtl/>
        </w:rPr>
        <w:t>(</w:t>
      </w:r>
      <w:r w:rsidRPr="008C0FB5">
        <w:rPr>
          <w:rStyle w:val="af0"/>
          <w:rFonts w:cs="Saihat"/>
          <w:sz w:val="30"/>
          <w:rtl/>
        </w:rPr>
        <w:footnoteReference w:id="308"/>
      </w:r>
      <w:r w:rsidRPr="008C0FB5">
        <w:rPr>
          <w:rFonts w:cs="Saihat" w:hint="cs"/>
          <w:vertAlign w:val="superscript"/>
          <w:rtl/>
        </w:rPr>
        <w:t>)</w:t>
      </w:r>
      <w:r w:rsidRPr="008C0FB5">
        <w:rPr>
          <w:rFonts w:hint="cs"/>
          <w:rtl/>
        </w:rPr>
        <w:t>،  إلا ان عدم اشتراط التعادل بين المقابل والتعهد قد يؤدي إلى نتيجة مفادها الاعتراف بالاعتبار الوهمي، حيث ان شراء ما قيمته ألف باون بباون واحد يقوم على اعتبار وهمي وإن كان ذا قيمة مادية في نظر القانون، فالاعتراف بوجود اعتبار رمزي قد يؤدي إلى الاعتراف بعقود تبرع في القانون الانكليزي الذي يقوم نظام العقد فيه على فكرة الصفقة، ثم ان هذا يؤدي إلى نتيجة أخرى وهي تقارب الاعتبار الأدبي مع الاعتبار المادي، وهو ما يوحي إلى الاعتقاد بأن الاعتبار الأدبي يصلح أن يكون اعتباراً جيداً.</w:t>
      </w:r>
    </w:p>
    <w:p w14:paraId="5C5BD423" w14:textId="77777777" w:rsidR="0094067A" w:rsidRPr="008C0FB5" w:rsidRDefault="0094067A" w:rsidP="00C35031">
      <w:pPr>
        <w:pStyle w:val="48"/>
        <w:rPr>
          <w:rFonts w:hint="cs"/>
          <w:rtl/>
        </w:rPr>
      </w:pPr>
      <w:r w:rsidRPr="008C0FB5">
        <w:rPr>
          <w:rFonts w:hint="cs"/>
          <w:b/>
          <w:bCs/>
          <w:rtl/>
        </w:rPr>
        <w:t xml:space="preserve">رابعاً: أن يكون الاعتبار مؤكداً ومشروعاً:        </w:t>
      </w:r>
    </w:p>
    <w:p w14:paraId="49E62C10" w14:textId="77777777" w:rsidR="0094067A" w:rsidRPr="008C0FB5" w:rsidRDefault="0094067A" w:rsidP="00C35031">
      <w:pPr>
        <w:pStyle w:val="48"/>
        <w:rPr>
          <w:rFonts w:hint="cs"/>
          <w:rtl/>
        </w:rPr>
      </w:pPr>
      <w:r w:rsidRPr="008C0FB5">
        <w:rPr>
          <w:rFonts w:hint="cs"/>
          <w:rtl/>
        </w:rPr>
        <w:t xml:space="preserve">يشترط في الاعتبار أن يكون مؤكداً، فإذا لم يكن مؤكداً فهو لا يصلح اعتبار في نظر القضاء، والمقصود بالتأكيد في هذا الباب هو أن يكون التعهد محدداً إلى درجة كافية </w:t>
      </w:r>
      <w:proofErr w:type="gramStart"/>
      <w:r w:rsidRPr="008C0FB5">
        <w:rPr>
          <w:rFonts w:hint="cs"/>
          <w:rtl/>
        </w:rPr>
        <w:t>ومعقولة</w:t>
      </w:r>
      <w:r w:rsidRPr="008C0FB5">
        <w:rPr>
          <w:rFonts w:cs="Saihat" w:hint="cs"/>
          <w:vertAlign w:val="superscript"/>
          <w:rtl/>
        </w:rPr>
        <w:t>(</w:t>
      </w:r>
      <w:proofErr w:type="gramEnd"/>
      <w:r w:rsidRPr="008C0FB5">
        <w:rPr>
          <w:rStyle w:val="af0"/>
          <w:rFonts w:cs="Saihat"/>
          <w:sz w:val="30"/>
          <w:rtl/>
        </w:rPr>
        <w:footnoteReference w:id="309"/>
      </w:r>
      <w:r w:rsidRPr="008C0FB5">
        <w:rPr>
          <w:rFonts w:cs="Saihat" w:hint="cs"/>
          <w:vertAlign w:val="superscript"/>
          <w:rtl/>
        </w:rPr>
        <w:t>)</w:t>
      </w:r>
      <w:r w:rsidRPr="008C0FB5">
        <w:rPr>
          <w:rFonts w:hint="cs"/>
          <w:rtl/>
        </w:rPr>
        <w:t>.</w:t>
      </w:r>
    </w:p>
    <w:p w14:paraId="1E354A7D" w14:textId="77777777" w:rsidR="0094067A" w:rsidRPr="008C0FB5" w:rsidRDefault="0094067A" w:rsidP="00C35031">
      <w:pPr>
        <w:pStyle w:val="35"/>
        <w:rPr>
          <w:rFonts w:hint="cs"/>
          <w:rtl/>
        </w:rPr>
      </w:pPr>
      <w:r w:rsidRPr="008C0FB5">
        <w:rPr>
          <w:rFonts w:hint="cs"/>
          <w:rtl/>
        </w:rPr>
        <w:lastRenderedPageBreak/>
        <w:t>أما بالنسبة للمشروعية فان القانون الانكليزي لا يسمح بالاتفاقات التي تخالف النظام العام أو الآداب، وعلى الرغم من ابن بعض الشرّاح يذهب إلى ان القانون الانكليزي لا يهتم بالبواعث</w:t>
      </w:r>
      <w:r w:rsidRPr="008C0FB5">
        <w:rPr>
          <w:rFonts w:cs="Saihat" w:hint="cs"/>
          <w:vertAlign w:val="superscript"/>
          <w:rtl/>
        </w:rPr>
        <w:t>(</w:t>
      </w:r>
      <w:r w:rsidRPr="008C0FB5">
        <w:rPr>
          <w:rStyle w:val="af0"/>
          <w:rFonts w:cs="Saihat"/>
          <w:sz w:val="30"/>
          <w:rtl/>
        </w:rPr>
        <w:footnoteReference w:id="310"/>
      </w:r>
      <w:r w:rsidRPr="008C0FB5">
        <w:rPr>
          <w:rFonts w:cs="Saihat" w:hint="cs"/>
          <w:vertAlign w:val="superscript"/>
          <w:rtl/>
        </w:rPr>
        <w:t>)</w:t>
      </w:r>
      <w:r w:rsidRPr="008C0FB5">
        <w:rPr>
          <w:rFonts w:hint="cs"/>
          <w:rtl/>
        </w:rPr>
        <w:t xml:space="preserve">، وانه يبطل مثل هذه الاتفاقات </w:t>
      </w:r>
      <w:r w:rsidRPr="008C0FB5">
        <w:rPr>
          <w:rFonts w:ascii="Times New Roman" w:hAnsi="Times New Roman" w:cs="Times New Roman" w:hint="cs"/>
          <w:rtl/>
        </w:rPr>
        <w:t>–</w:t>
      </w:r>
      <w:r w:rsidRPr="008C0FB5">
        <w:rPr>
          <w:rFonts w:hint="cs"/>
          <w:rtl/>
        </w:rPr>
        <w:t xml:space="preserve"> كالاتفاقات التي يكون الغرض منها تعطيل المرافق العامة أو إنشاء علاقات غير مشروعة أو مخالفة للآداب </w:t>
      </w:r>
      <w:r w:rsidRPr="008C0FB5">
        <w:rPr>
          <w:rFonts w:ascii="Times New Roman" w:hAnsi="Times New Roman" w:cs="Times New Roman" w:hint="cs"/>
          <w:rtl/>
        </w:rPr>
        <w:t>–</w:t>
      </w:r>
      <w:r w:rsidRPr="008C0FB5">
        <w:rPr>
          <w:rFonts w:hint="cs"/>
          <w:rtl/>
        </w:rPr>
        <w:t xml:space="preserve"> بالاستعانة أحياناً بعدم مشروعية المحل، وأحياناً بوجود اتفاق بين الطرفين على الوصول إلى غرض غير مشروع، ولكن في الحقيقة ان الحالة الأخيرة المتعلقة بإبطال الاتفاق على الوصول إلى غرض غير مشروع يشير إلى الاعتداد بالباعث الدافع في القانون الانكليزي إذا كان ذلك هو السبيل الوحيد لمه النتائج غير المشروعة.</w:t>
      </w:r>
    </w:p>
    <w:p w14:paraId="7D776DBB" w14:textId="77777777" w:rsidR="0094067A" w:rsidRPr="008C0FB5" w:rsidRDefault="0094067A" w:rsidP="00C253D0">
      <w:pPr>
        <w:pStyle w:val="af8"/>
        <w:rPr>
          <w:rFonts w:hint="cs"/>
          <w:rtl/>
        </w:rPr>
      </w:pPr>
      <w:bookmarkStart w:id="100" w:name="_Toc8643692"/>
      <w:r w:rsidRPr="008C0FB5">
        <w:rPr>
          <w:rFonts w:hint="cs"/>
          <w:rtl/>
        </w:rPr>
        <w:t xml:space="preserve">الفرع الثاني: </w:t>
      </w:r>
      <w:r w:rsidRPr="008C0FB5">
        <w:rPr>
          <w:rFonts w:hint="cs"/>
          <w:rtl/>
          <w:lang w:bidi="ar-IQ"/>
        </w:rPr>
        <w:t>خصائص الاعتـبار</w:t>
      </w:r>
      <w:bookmarkEnd w:id="100"/>
    </w:p>
    <w:p w14:paraId="69B99458" w14:textId="77777777" w:rsidR="0094067A" w:rsidRPr="008C0FB5" w:rsidRDefault="0094067A" w:rsidP="00C35031">
      <w:pPr>
        <w:pStyle w:val="48"/>
        <w:rPr>
          <w:rFonts w:hint="cs"/>
          <w:rtl/>
        </w:rPr>
      </w:pPr>
      <w:r w:rsidRPr="008C0FB5">
        <w:rPr>
          <w:rFonts w:hint="cs"/>
          <w:rtl/>
        </w:rPr>
        <w:t>ويتميز الاعتبار بعدة خصائص تميزه عن غيره من الأنظمة القانونية كالسبب بالمفهوم التقليدي أو بمفهومه الحديث، وهذه الخصائص هي:</w:t>
      </w:r>
    </w:p>
    <w:p w14:paraId="0F7CE616" w14:textId="77777777" w:rsidR="0094067A" w:rsidRPr="008C0FB5" w:rsidRDefault="0094067A" w:rsidP="007A1F34">
      <w:pPr>
        <w:pStyle w:val="48"/>
        <w:numPr>
          <w:ilvl w:val="0"/>
          <w:numId w:val="32"/>
        </w:numPr>
        <w:rPr>
          <w:rFonts w:hint="cs"/>
          <w:rtl/>
        </w:rPr>
      </w:pPr>
      <w:r w:rsidRPr="008C0FB5">
        <w:rPr>
          <w:rFonts w:hint="cs"/>
          <w:rtl/>
        </w:rPr>
        <w:t xml:space="preserve">إن الاعتبار هو ما يطلبه العاقد في المساومة وقد يكون شيئاً أو عملاً أو امتناعاً عن عمل ولكه ذا صبغة مادية، أي انه عنصر داخلي في العقد ولا يبحث عنه خارج </w:t>
      </w:r>
      <w:proofErr w:type="gramStart"/>
      <w:r w:rsidRPr="008C0FB5">
        <w:rPr>
          <w:rFonts w:hint="cs"/>
          <w:rtl/>
        </w:rPr>
        <w:t>العقد</w:t>
      </w:r>
      <w:r w:rsidRPr="008C0FB5">
        <w:rPr>
          <w:rFonts w:cs="Saihat" w:hint="cs"/>
          <w:vertAlign w:val="superscript"/>
          <w:rtl/>
        </w:rPr>
        <w:t>(</w:t>
      </w:r>
      <w:proofErr w:type="gramEnd"/>
      <w:r w:rsidRPr="008C0FB5">
        <w:rPr>
          <w:rStyle w:val="af0"/>
          <w:rFonts w:cs="Saihat"/>
          <w:sz w:val="30"/>
          <w:rtl/>
        </w:rPr>
        <w:footnoteReference w:id="311"/>
      </w:r>
      <w:r w:rsidRPr="008C0FB5">
        <w:rPr>
          <w:rFonts w:cs="Saihat" w:hint="cs"/>
          <w:vertAlign w:val="superscript"/>
          <w:rtl/>
        </w:rPr>
        <w:t>)</w:t>
      </w:r>
      <w:r w:rsidRPr="008C0FB5">
        <w:rPr>
          <w:rFonts w:hint="cs"/>
          <w:rtl/>
        </w:rPr>
        <w:t>.</w:t>
      </w:r>
    </w:p>
    <w:p w14:paraId="4593A5F8" w14:textId="77777777" w:rsidR="0094067A" w:rsidRPr="008C0FB5" w:rsidRDefault="0094067A" w:rsidP="007A1F34">
      <w:pPr>
        <w:pStyle w:val="48"/>
        <w:numPr>
          <w:ilvl w:val="0"/>
          <w:numId w:val="32"/>
        </w:numPr>
        <w:rPr>
          <w:rFonts w:hint="cs"/>
          <w:rtl/>
        </w:rPr>
      </w:pPr>
      <w:r w:rsidRPr="008C0FB5">
        <w:rPr>
          <w:rFonts w:hint="cs"/>
          <w:rtl/>
        </w:rPr>
        <w:t xml:space="preserve">إن العقد لا يكون صحيحاً إلا إذا وجد الاعتبار، والاعتبار يجب أن يحتويه القبول فهو شرط لصحة العقود البسيطة، أما العقود الشكلية فان الشكل يغني عن الاعتبار فلا يشترط توافر الأخير </w:t>
      </w:r>
      <w:proofErr w:type="gramStart"/>
      <w:r w:rsidRPr="008C0FB5">
        <w:rPr>
          <w:rFonts w:hint="cs"/>
          <w:rtl/>
        </w:rPr>
        <w:t>فيه</w:t>
      </w:r>
      <w:r w:rsidRPr="008C0FB5">
        <w:rPr>
          <w:rFonts w:cs="Saihat" w:hint="cs"/>
          <w:vertAlign w:val="superscript"/>
          <w:rtl/>
        </w:rPr>
        <w:t>(</w:t>
      </w:r>
      <w:proofErr w:type="gramEnd"/>
      <w:r w:rsidRPr="008C0FB5">
        <w:rPr>
          <w:rStyle w:val="af0"/>
          <w:rFonts w:cs="Saihat"/>
          <w:sz w:val="30"/>
          <w:rtl/>
        </w:rPr>
        <w:footnoteReference w:id="312"/>
      </w:r>
      <w:r w:rsidRPr="008C0FB5">
        <w:rPr>
          <w:rFonts w:cs="Saihat" w:hint="cs"/>
          <w:vertAlign w:val="superscript"/>
          <w:rtl/>
        </w:rPr>
        <w:t>)</w:t>
      </w:r>
      <w:r w:rsidRPr="008C0FB5">
        <w:rPr>
          <w:rFonts w:hint="cs"/>
          <w:rtl/>
        </w:rPr>
        <w:t>.</w:t>
      </w:r>
    </w:p>
    <w:p w14:paraId="4C52FBFA" w14:textId="77777777" w:rsidR="0094067A" w:rsidRPr="008C0FB5" w:rsidRDefault="0094067A" w:rsidP="007A1F34">
      <w:pPr>
        <w:pStyle w:val="48"/>
        <w:numPr>
          <w:ilvl w:val="0"/>
          <w:numId w:val="32"/>
        </w:numPr>
        <w:rPr>
          <w:rFonts w:hint="cs"/>
          <w:rtl/>
        </w:rPr>
      </w:pPr>
      <w:r w:rsidRPr="008C0FB5">
        <w:rPr>
          <w:rFonts w:hint="cs"/>
          <w:rtl/>
        </w:rPr>
        <w:t xml:space="preserve">إن المعادلة لا تهم في الاعتبار، فقد يكون الاعتبار جنيهاً واحداً وذلك لأن القانون الانكليزي قائم على فكرة المنفعة التي جاء بها الفقيه بنتام، هذه النظرية تترك للمتعاقدين حرية تقدير مصلحتهما من العقد، ولذلك كله فالقانون لا يبحث التعادل بين الالتزامات وإنما يبحث عن وجود الالتزامات المتقابلة فقط، حتى لو كانت هذه الالتزامات غير </w:t>
      </w:r>
      <w:proofErr w:type="gramStart"/>
      <w:r w:rsidRPr="008C0FB5">
        <w:rPr>
          <w:rFonts w:hint="cs"/>
          <w:rtl/>
        </w:rPr>
        <w:t>متساوية</w:t>
      </w:r>
      <w:r w:rsidRPr="008C0FB5">
        <w:rPr>
          <w:rFonts w:cs="Saihat" w:hint="cs"/>
          <w:vertAlign w:val="superscript"/>
          <w:rtl/>
        </w:rPr>
        <w:t>(</w:t>
      </w:r>
      <w:proofErr w:type="gramEnd"/>
      <w:r w:rsidRPr="008C0FB5">
        <w:rPr>
          <w:rStyle w:val="af0"/>
          <w:rFonts w:cs="Saihat"/>
          <w:sz w:val="30"/>
          <w:rtl/>
        </w:rPr>
        <w:footnoteReference w:id="313"/>
      </w:r>
      <w:r w:rsidRPr="008C0FB5">
        <w:rPr>
          <w:rFonts w:cs="Saihat" w:hint="cs"/>
          <w:vertAlign w:val="superscript"/>
          <w:rtl/>
        </w:rPr>
        <w:t>)</w:t>
      </w:r>
      <w:r w:rsidRPr="008C0FB5">
        <w:rPr>
          <w:rFonts w:hint="cs"/>
          <w:rtl/>
        </w:rPr>
        <w:t>.</w:t>
      </w:r>
    </w:p>
    <w:p w14:paraId="26997A57" w14:textId="77777777" w:rsidR="0094067A" w:rsidRPr="008C0FB5" w:rsidRDefault="0094067A" w:rsidP="008C0FB5">
      <w:pPr>
        <w:pStyle w:val="affffffd"/>
        <w:rPr>
          <w:rFonts w:hint="cs"/>
          <w:rtl/>
        </w:rPr>
      </w:pPr>
      <w:r w:rsidRPr="008C0FB5">
        <w:rPr>
          <w:rFonts w:hint="cs"/>
          <w:rtl/>
        </w:rPr>
        <w:t>تقويم النظرية</w:t>
      </w:r>
    </w:p>
    <w:p w14:paraId="68F7313F" w14:textId="77777777" w:rsidR="0094067A" w:rsidRPr="008C0FB5" w:rsidRDefault="0094067A" w:rsidP="00C35031">
      <w:pPr>
        <w:pStyle w:val="48"/>
        <w:rPr>
          <w:rFonts w:hint="cs"/>
          <w:rtl/>
        </w:rPr>
      </w:pPr>
      <w:r w:rsidRPr="008C0FB5">
        <w:rPr>
          <w:rFonts w:hint="cs"/>
          <w:rtl/>
        </w:rPr>
        <w:t xml:space="preserve">لقد تبين لنا من دراستنا لنظرية الاعتبار في القانون الانكليزي، انه قد وقف موقفاً خاصاً، فالاعتبار وإن كان أقرب ما يكون لنظرية السبب التقليدية فهو يبقى مختلفاً عنها، وإن كان أيضاً قد اعتد بالمشروعية أي بفكرة الباعث فانه لم يأخذ بها على إطلاقها، ففكرة الاعتبار تعتبر فكرة مطورة لنظرية السبب لأنها تلتقي معها في بعض التفاصيل، إلا انها تختلف عنها في تفاصيل أخرى، وذلك لأن نظرية السبب صورت تصويراً مادياً، ومن ثم فالعبرة بما يهدف المدين الحصول عليه، فالسبب على هذا الوجه هو السبب القصدي أو الغائي، وكان مر بنا سابقاً، ان نظرية السبب بالمفهوم التقليدي إنما ترتبط بطبيعة الالتزام إذ هو السبب المادي لاسيما إذا أدركنا </w:t>
      </w:r>
      <w:r w:rsidRPr="008C0FB5">
        <w:rPr>
          <w:rFonts w:hint="cs"/>
          <w:rtl/>
        </w:rPr>
        <w:lastRenderedPageBreak/>
        <w:t>ان رأياً في الفقه المصري استوجب القيمة الاجتماعية والاقتصادية شرطاً في السبب المذكور</w:t>
      </w:r>
      <w:r w:rsidRPr="008C0FB5">
        <w:rPr>
          <w:rFonts w:cs="Saihat" w:hint="cs"/>
          <w:vertAlign w:val="superscript"/>
          <w:rtl/>
        </w:rPr>
        <w:t>(</w:t>
      </w:r>
      <w:r w:rsidRPr="008C0FB5">
        <w:rPr>
          <w:rStyle w:val="af0"/>
          <w:rFonts w:cs="Saihat"/>
          <w:sz w:val="30"/>
          <w:rtl/>
        </w:rPr>
        <w:footnoteReference w:id="314"/>
      </w:r>
      <w:r w:rsidRPr="008C0FB5">
        <w:rPr>
          <w:rFonts w:cs="Saihat" w:hint="cs"/>
          <w:vertAlign w:val="superscript"/>
          <w:rtl/>
        </w:rPr>
        <w:t>)</w:t>
      </w:r>
      <w:r w:rsidRPr="008C0FB5">
        <w:rPr>
          <w:rFonts w:hint="cs"/>
          <w:rtl/>
        </w:rPr>
        <w:t>. ومن هنا يمكننا القول بأن السبب بهذا التصوير المادي يلتقي مع نظرية الاعتبار إذ ان من المتعين أن يكون الأخير شيئاً له قيمة مادية وكذلك تلتقي النظرية في ان البحث عنهما يكون داخل العقد.</w:t>
      </w:r>
    </w:p>
    <w:p w14:paraId="6E292F53" w14:textId="77777777" w:rsidR="0094067A" w:rsidRPr="008C0FB5" w:rsidRDefault="0094067A" w:rsidP="00C35031">
      <w:pPr>
        <w:pStyle w:val="35"/>
        <w:rPr>
          <w:rFonts w:hint="cs"/>
          <w:rtl/>
        </w:rPr>
      </w:pPr>
      <w:r w:rsidRPr="008C0FB5">
        <w:rPr>
          <w:rFonts w:hint="cs"/>
          <w:rtl/>
        </w:rPr>
        <w:t>إضافة لذلك يمكننا أن نبرز نقطة أخرى لاتفاق الاعتبار مع السبب في النظرية التقليدية، ففي العقود الملزمة للجانبين في القانون الانكليزي نجد ان الاعتبار بالنسبة لكل التزام يتنفذ في الالتزام المقابل وهو نفس الأمر بالنسبة للعقود الملزمة للجانبين في النظرية التقليدية للسبب.</w:t>
      </w:r>
    </w:p>
    <w:p w14:paraId="3D098381" w14:textId="77777777" w:rsidR="0094067A" w:rsidRPr="008C0FB5" w:rsidRDefault="0094067A" w:rsidP="00C35031">
      <w:pPr>
        <w:pStyle w:val="35"/>
        <w:rPr>
          <w:rFonts w:hint="cs"/>
          <w:rtl/>
        </w:rPr>
      </w:pPr>
      <w:r w:rsidRPr="008C0FB5">
        <w:rPr>
          <w:rFonts w:hint="cs"/>
          <w:rtl/>
        </w:rPr>
        <w:t>إلا انها مع كل هذا الاتفاق فانها تبقى مختلفة عنها في نقاط أخرى منها ان السبب بموجب النظرية التقليدية هو الغرض المباشر الذي يسعى المدين الحصول عليه من وراء التزامه، أما الاعتبار فهو شيء ذو قيمة مادية يقدمه الموعود له للواعد حتى يجعل الأخير ملتزماً بما وعد سلفاً، وكذلك يختلف الاعتبار عن السبب فان الاعتبار لا يجد له مجالاً في عقود التبرع ولا يصح إلا إذا كان بصيغة عقد شكلي، أما السبب في عقود التبرع فيجد له مجالاً واسعاً في تمثيل نية التبرع لدى المتبرع.</w:t>
      </w:r>
    </w:p>
    <w:p w14:paraId="3106CB8C" w14:textId="77777777" w:rsidR="0094067A" w:rsidRPr="008C0FB5" w:rsidRDefault="0094067A" w:rsidP="00C35031">
      <w:pPr>
        <w:pStyle w:val="35"/>
        <w:rPr>
          <w:rFonts w:hint="cs"/>
          <w:rtl/>
        </w:rPr>
      </w:pPr>
      <w:r w:rsidRPr="008C0FB5">
        <w:rPr>
          <w:rFonts w:hint="cs"/>
          <w:rtl/>
        </w:rPr>
        <w:t xml:space="preserve">وهذا كله فيما يتعلق بالنظرية التقليدية للسبب والاعتبار، أما بالنسبة للنظرية الحديثة والاعتبار فان أغلب الفقه </w:t>
      </w:r>
      <w:proofErr w:type="gramStart"/>
      <w:r w:rsidRPr="008C0FB5">
        <w:rPr>
          <w:rFonts w:hint="cs"/>
          <w:rtl/>
        </w:rPr>
        <w:t>يرى</w:t>
      </w:r>
      <w:r w:rsidRPr="008C0FB5">
        <w:rPr>
          <w:rFonts w:cs="Saihat" w:hint="cs"/>
          <w:vertAlign w:val="superscript"/>
          <w:rtl/>
        </w:rPr>
        <w:t>(</w:t>
      </w:r>
      <w:proofErr w:type="gramEnd"/>
      <w:r w:rsidRPr="008C0FB5">
        <w:rPr>
          <w:rStyle w:val="af0"/>
          <w:rFonts w:cs="Saihat"/>
          <w:sz w:val="30"/>
          <w:rtl/>
        </w:rPr>
        <w:footnoteReference w:id="315"/>
      </w:r>
      <w:r w:rsidRPr="008C0FB5">
        <w:rPr>
          <w:rFonts w:cs="Saihat" w:hint="cs"/>
          <w:vertAlign w:val="superscript"/>
          <w:rtl/>
        </w:rPr>
        <w:t>)</w:t>
      </w:r>
      <w:r w:rsidRPr="008C0FB5">
        <w:rPr>
          <w:rFonts w:hint="cs"/>
          <w:rtl/>
        </w:rPr>
        <w:t xml:space="preserve"> ان نظرية الباعث تختلف تماماً عن نظرية الاعتبار في القانون الانكليزي وذلك لأن الباعث هو عبارة عن التزام أدبي، أما الاعتبار فهو عبارة عن شيء ذو قيمة مادية ولكن مع هذا القول فاننا نرى ان القضاء الانكليزي قد أخذ بالباعث في بعض الحالات إذا كان هو السبيل الوحيد لمنع النتائج غير المشروعة فقد جاء في قضية بريس ضد بروكس </w:t>
      </w:r>
    </w:p>
    <w:p w14:paraId="6CBB91F9" w14:textId="77777777" w:rsidR="0094067A" w:rsidRPr="008C0FB5" w:rsidRDefault="0094067A" w:rsidP="00A613BA">
      <w:pPr>
        <w:pStyle w:val="afffffff1"/>
        <w:rPr>
          <w:rFonts w:hint="cs"/>
          <w:rtl/>
        </w:rPr>
      </w:pPr>
      <w:r w:rsidRPr="008C0FB5">
        <w:rPr>
          <w:rFonts w:hint="cs"/>
          <w:rtl/>
        </w:rPr>
        <w:t xml:space="preserve">إن عاهرة قد اشترت بالأقساط مركبة من الطراز القديم من شركة لصناعة المركبات وكان معلوماً ان الغرض من شراء تلك المركبة هو جذب الزبائن من الرجال، ولما لم تستطع دفع تلك الأقساط أقامت الشركة الدعوى عليها مطالبة بالأقساط المتأخرة فحكم بأن المدعي (الشركة) كان يعلم بالغرض غير المشروع الذي تم الشراء لأجله لذلك فان العقد </w:t>
      </w:r>
      <w:proofErr w:type="gramStart"/>
      <w:r w:rsidRPr="008C0FB5">
        <w:rPr>
          <w:rFonts w:hint="cs"/>
          <w:rtl/>
        </w:rPr>
        <w:t>باطل</w:t>
      </w:r>
      <w:r w:rsidRPr="008C0FB5">
        <w:rPr>
          <w:rFonts w:hint="cs"/>
          <w:szCs w:val="30"/>
          <w:vertAlign w:val="superscript"/>
          <w:rtl/>
        </w:rPr>
        <w:t>(</w:t>
      </w:r>
      <w:proofErr w:type="gramEnd"/>
      <w:r w:rsidRPr="008C0FB5">
        <w:rPr>
          <w:rStyle w:val="af0"/>
          <w:sz w:val="30"/>
          <w:szCs w:val="30"/>
          <w:rtl/>
        </w:rPr>
        <w:footnoteReference w:id="316"/>
      </w:r>
      <w:r w:rsidRPr="008C0FB5">
        <w:rPr>
          <w:rFonts w:hint="cs"/>
          <w:szCs w:val="30"/>
          <w:vertAlign w:val="superscript"/>
          <w:rtl/>
        </w:rPr>
        <w:t>)</w:t>
      </w:r>
      <w:r w:rsidRPr="008C0FB5">
        <w:rPr>
          <w:rFonts w:hint="cs"/>
          <w:rtl/>
        </w:rPr>
        <w:t>.</w:t>
      </w:r>
    </w:p>
    <w:p w14:paraId="72DBEEAC" w14:textId="77777777" w:rsidR="0094067A" w:rsidRPr="008C0FB5" w:rsidRDefault="0094067A" w:rsidP="00C35031">
      <w:pPr>
        <w:pStyle w:val="35"/>
        <w:rPr>
          <w:rFonts w:hint="cs"/>
          <w:rtl/>
        </w:rPr>
      </w:pPr>
      <w:r w:rsidRPr="008C0FB5">
        <w:rPr>
          <w:rtl/>
        </w:rPr>
        <w:t xml:space="preserve">وبهذا يمكننا القول عن القانون الانكليزي بأخذه بنظرية الاعتبار لم يهمل نظرية الباعث كلياً، وذلك للفائدة العملية التي تحققها هذه النظرية للمصلحة العامة بالدرجة الأولى. </w:t>
      </w:r>
    </w:p>
    <w:p w14:paraId="7A602801" w14:textId="77777777" w:rsidR="0094067A" w:rsidRPr="008C0FB5" w:rsidRDefault="008C0FB5" w:rsidP="00C253D0">
      <w:pPr>
        <w:pStyle w:val="affffffd"/>
        <w:rPr>
          <w:rFonts w:hint="cs"/>
          <w:rtl/>
        </w:rPr>
      </w:pPr>
      <w:r w:rsidRPr="008C0FB5">
        <w:rPr>
          <w:rtl/>
        </w:rPr>
        <w:br w:type="page"/>
      </w:r>
      <w:r w:rsidR="0094067A" w:rsidRPr="008C0FB5">
        <w:rPr>
          <w:rFonts w:hint="cs"/>
          <w:rtl/>
        </w:rPr>
        <w:lastRenderedPageBreak/>
        <w:t xml:space="preserve">الخاتمة </w:t>
      </w:r>
    </w:p>
    <w:p w14:paraId="55EBA161" w14:textId="77777777" w:rsidR="0094067A" w:rsidRPr="008C0FB5" w:rsidRDefault="0094067A" w:rsidP="00C253D0">
      <w:pPr>
        <w:pStyle w:val="48"/>
        <w:rPr>
          <w:rFonts w:hint="cs"/>
          <w:rtl/>
        </w:rPr>
      </w:pPr>
      <w:r w:rsidRPr="008C0FB5">
        <w:rPr>
          <w:rFonts w:hint="cs"/>
          <w:rtl/>
        </w:rPr>
        <w:t>أهم النتائج والمقترحات:</w:t>
      </w:r>
    </w:p>
    <w:p w14:paraId="4B9AD92F" w14:textId="77777777" w:rsidR="0094067A" w:rsidRPr="008C0FB5" w:rsidRDefault="0094067A" w:rsidP="00C35031">
      <w:pPr>
        <w:pStyle w:val="48"/>
        <w:rPr>
          <w:rFonts w:hint="cs"/>
          <w:rtl/>
        </w:rPr>
      </w:pPr>
      <w:r w:rsidRPr="008C0FB5">
        <w:rPr>
          <w:rFonts w:hint="cs"/>
          <w:rtl/>
        </w:rPr>
        <w:t>وفي الختام يتبين لنا من دراستنا الفقهية (القانونية الإسلامية) بالإضافة إلى الأحكام القضائية التي تناولناها النتائج والمقترحات الآتية:</w:t>
      </w:r>
    </w:p>
    <w:p w14:paraId="0E8ABCD7" w14:textId="77777777" w:rsidR="0094067A" w:rsidRPr="008C0FB5" w:rsidRDefault="0094067A" w:rsidP="00C253D0">
      <w:pPr>
        <w:pStyle w:val="48"/>
        <w:rPr>
          <w:rFonts w:hint="cs"/>
          <w:rtl/>
        </w:rPr>
      </w:pPr>
      <w:r w:rsidRPr="008C0FB5">
        <w:rPr>
          <w:rFonts w:hint="cs"/>
          <w:rtl/>
        </w:rPr>
        <w:t xml:space="preserve"> أولاً: النتائج:</w:t>
      </w:r>
    </w:p>
    <w:p w14:paraId="7B7B32A2" w14:textId="77777777" w:rsidR="0094067A" w:rsidRPr="008C0FB5" w:rsidRDefault="0094067A" w:rsidP="007A1F34">
      <w:pPr>
        <w:pStyle w:val="48"/>
        <w:numPr>
          <w:ilvl w:val="0"/>
          <w:numId w:val="33"/>
        </w:numPr>
        <w:rPr>
          <w:rFonts w:hint="cs"/>
          <w:rtl/>
        </w:rPr>
      </w:pPr>
      <w:r w:rsidRPr="008C0FB5">
        <w:rPr>
          <w:rFonts w:hint="cs"/>
          <w:rtl/>
        </w:rPr>
        <w:t>إن النظرية الذاتية للسبب (نظرية الباعث) تعتبر مكملة للنظرية الموضوعية (السبب القصدي) لأن الثانية تناولت السبب بأنواعه الثلاثة المنشئ والقصدي والباعث، غير انها لم تعر أهمية للتمييز بين الباعث الدافع المشروع وغير المشروع من حيث أثره على التصرف، وان النظرية الذاتية ما ظهرت إلا لسد هذا النقص وهذا واضح من إبطالها للعقد ذي الباعث غير المشروع إذا كان الطرف الآخر ليعلم به أو كان باستطاعته أن يعلم ذلك.</w:t>
      </w:r>
    </w:p>
    <w:p w14:paraId="40526956" w14:textId="77777777" w:rsidR="0094067A" w:rsidRPr="008C0FB5" w:rsidRDefault="0094067A" w:rsidP="007A1F34">
      <w:pPr>
        <w:pStyle w:val="48"/>
        <w:numPr>
          <w:ilvl w:val="0"/>
          <w:numId w:val="33"/>
        </w:numPr>
        <w:rPr>
          <w:rFonts w:hint="cs"/>
          <w:rtl/>
        </w:rPr>
      </w:pPr>
      <w:r w:rsidRPr="008C0FB5">
        <w:rPr>
          <w:rFonts w:hint="cs"/>
          <w:rtl/>
        </w:rPr>
        <w:t>إن المجال الطبيعي الوحيد لاعمال نظرية السبب هو في الالتزامات الناشئة في العقود الملزمة للجانبين، هذه الالتزامات المتقابلة التي يرتبط بعضها ببعض ارتباطاً سببياً ليس وقت نشوءها فحسب وإنما أيضاً وقت تنفيذها، ولا يشترط في السبب القصدي إلا شرطاً واحداً هو أن يكون موجوداً، على ان إعمال نظرية السبب في الالتزامات الناشئة من العقود الملزمة لا يمنع من إعمال نظرية الباعث الدافع في هذه العقود، فالباعث الذي وجه الإرادة ودفعها إلى التعاقد يجب أن يكون مشروعاً والمشروعية هي الشرط الوحيد الذي يجب أن يتوافر في الباعث الدافع.</w:t>
      </w:r>
    </w:p>
    <w:p w14:paraId="349FE514" w14:textId="77777777" w:rsidR="0094067A" w:rsidRPr="008C0FB5" w:rsidRDefault="0094067A" w:rsidP="007A1F34">
      <w:pPr>
        <w:pStyle w:val="48"/>
        <w:numPr>
          <w:ilvl w:val="0"/>
          <w:numId w:val="33"/>
        </w:numPr>
        <w:rPr>
          <w:rFonts w:hint="cs"/>
          <w:rtl/>
        </w:rPr>
      </w:pPr>
      <w:r w:rsidRPr="008C0FB5">
        <w:rPr>
          <w:rFonts w:hint="cs"/>
          <w:rtl/>
        </w:rPr>
        <w:t>على انه إذا كان السبب عنصراً جوهرياً في الالتزامات الناشئة من العقود الملزمة للجانبين فان شرط مشروعية الباعث الدافع للإرادة إلى التعاقد يجب أن يتوافر في جميع العقود سواء أكانت ملزمة للجانبين أم ملزمة لجانب واحد وسواء أكانت عقود معاوضة أم عقود تبرع.</w:t>
      </w:r>
    </w:p>
    <w:p w14:paraId="75240C20" w14:textId="77777777" w:rsidR="0094067A" w:rsidRPr="008C0FB5" w:rsidRDefault="0094067A" w:rsidP="007A1F34">
      <w:pPr>
        <w:pStyle w:val="48"/>
        <w:numPr>
          <w:ilvl w:val="0"/>
          <w:numId w:val="33"/>
        </w:numPr>
        <w:rPr>
          <w:rFonts w:hint="cs"/>
          <w:rtl/>
        </w:rPr>
      </w:pPr>
      <w:r w:rsidRPr="008C0FB5">
        <w:rPr>
          <w:rFonts w:hint="cs"/>
          <w:rtl/>
        </w:rPr>
        <w:t>إن ظهور النظرية الذاتية للسبب لا يعني الاستغناء عن النظرية التقليدية (السبب القصدي) ذلك ان النظرية الذاتية ما جاءت إلا لإكمال النقص الوارد في النظرية التقليدية عن طريق إبطال العقود التي عجزت النظرية الأخيرة عن إبطالها رغم عدم مشروعيتها، وذلك عن طريق النظر إلى ما كان يقصد إليه الطرفين، وبهذا كانت النظرية الموضوعية أقوى اتصالاً وأشد حرصاً على حماية النظام العام والآداب العامة من خلال اشتراطها عدم مخالفتهما.</w:t>
      </w:r>
    </w:p>
    <w:p w14:paraId="02F21BFE" w14:textId="77777777" w:rsidR="0094067A" w:rsidRPr="008C0FB5" w:rsidRDefault="0094067A" w:rsidP="007A1F34">
      <w:pPr>
        <w:pStyle w:val="48"/>
        <w:numPr>
          <w:ilvl w:val="0"/>
          <w:numId w:val="33"/>
        </w:numPr>
        <w:rPr>
          <w:rFonts w:hint="cs"/>
          <w:rtl/>
        </w:rPr>
      </w:pPr>
      <w:r w:rsidRPr="008C0FB5">
        <w:rPr>
          <w:rFonts w:hint="cs"/>
          <w:rtl/>
        </w:rPr>
        <w:t>إن القول بان اشتراط علم الطرف الآخر لإبطال العقد ذي الباعث غير المشروع ما جاء غلا حماية له وذلك لأنه حسن النية، هو قول محل نظر، ذلك ان فرض البطلان على العقد الذي يعلم أحد طرفيه بالباعث غير المشروع لدى الطرف الآخر ما كان إلا جزاءاً للطرفين على هذا العلم وان عدم الإبطال بسبب عدم علم أحد طرفيه هو ضماناً لاستقرار المعاملات من جهة ومن جهة أخرى ان صاحب الباعث السيء سيمنع من تحقيق باعثه رغم إبقاء العقد صحيحاً.</w:t>
      </w:r>
    </w:p>
    <w:p w14:paraId="1D289633" w14:textId="77777777" w:rsidR="0094067A" w:rsidRPr="008C0FB5" w:rsidRDefault="0094067A" w:rsidP="007A1F34">
      <w:pPr>
        <w:pStyle w:val="48"/>
        <w:numPr>
          <w:ilvl w:val="0"/>
          <w:numId w:val="33"/>
        </w:numPr>
        <w:rPr>
          <w:rFonts w:hint="cs"/>
          <w:rtl/>
        </w:rPr>
      </w:pPr>
      <w:r w:rsidRPr="008C0FB5">
        <w:rPr>
          <w:rFonts w:hint="cs"/>
          <w:rtl/>
        </w:rPr>
        <w:t xml:space="preserve">لا يمكن تطبيق قواعد البطلان بشكل حرفي فيما يخص إبطال العقد المخالف باعثه للنظام </w:t>
      </w:r>
      <w:r w:rsidRPr="008C0FB5">
        <w:rPr>
          <w:rFonts w:hint="cs"/>
          <w:rtl/>
        </w:rPr>
        <w:lastRenderedPageBreak/>
        <w:t xml:space="preserve">العام والآداب العامة، ذلك ان قواعد البطلان قد تؤدي في بعض الأحيان إلى نتائج غير منطقية كما في حالة ما إذا قام شخص بدفع مبلغ على سبيل الرشوة إلى موظف عام، ثم أثير النزاع وبطل العقد </w:t>
      </w:r>
      <w:r w:rsidRPr="008C0FB5">
        <w:rPr>
          <w:rFonts w:ascii="Times New Roman" w:hAnsi="Times New Roman" w:cs="Times New Roman" w:hint="cs"/>
          <w:rtl/>
        </w:rPr>
        <w:t>–</w:t>
      </w:r>
      <w:r w:rsidRPr="008C0FB5">
        <w:rPr>
          <w:rFonts w:hint="cs"/>
          <w:rtl/>
        </w:rPr>
        <w:t xml:space="preserve"> عقد الرشوة </w:t>
      </w:r>
      <w:r w:rsidRPr="008C0FB5">
        <w:rPr>
          <w:rFonts w:ascii="Times New Roman" w:hAnsi="Times New Roman" w:cs="Times New Roman" w:hint="cs"/>
          <w:rtl/>
        </w:rPr>
        <w:t>–</w:t>
      </w:r>
      <w:r w:rsidRPr="008C0FB5">
        <w:rPr>
          <w:rFonts w:hint="cs"/>
          <w:rtl/>
        </w:rPr>
        <w:t xml:space="preserve"> فان منطق البطلان يقرر بأن يرجع المتعاقدين إلى الحالة التي كانا عليها قبل التعاقد، وإرجاع مبلغ الرشوة إلى الراشي هو مكافأة له على مخالفته للنظام العام والآداب العامة بدلاً من معاقبته على ذلك ولذلك كان من الأصح مصادرة مبلغ الرشوة.</w:t>
      </w:r>
    </w:p>
    <w:p w14:paraId="3916DB7A" w14:textId="77777777" w:rsidR="0094067A" w:rsidRPr="008C0FB5" w:rsidRDefault="0094067A" w:rsidP="007A1F34">
      <w:pPr>
        <w:pStyle w:val="48"/>
        <w:numPr>
          <w:ilvl w:val="0"/>
          <w:numId w:val="33"/>
        </w:numPr>
        <w:rPr>
          <w:rFonts w:hint="cs"/>
          <w:rtl/>
        </w:rPr>
      </w:pPr>
      <w:r w:rsidRPr="008C0FB5">
        <w:rPr>
          <w:rFonts w:hint="cs"/>
          <w:rtl/>
        </w:rPr>
        <w:t>إن الادعاء بأن عدم مشروعية المحل يغني عن الأخذ بالباعث غير المشروع هو ادعاء مردود، ذلك لأن المحل وهو شيء مادي و معنوي يختلف عن الباعث إذ ان الباعث قد يكون مشروعاً رغم مشروعية المحل، فمثلاً إذا اشترى شخص من آخر عنباً ليعصره خمراً، فان المحل يكون في هذا المثل مشروعاً رغم عدم مشروعية الباعث وبالعكس قد يكون محل العقد غير مشروع رغم مشروعية الباعث على التعاقد، فمثلاً ما إذا قام شخص بشراء الأصنام لكسرها</w:t>
      </w:r>
      <w:r w:rsidRPr="008C0FB5">
        <w:rPr>
          <w:rFonts w:cs="Saihat" w:hint="cs"/>
          <w:vertAlign w:val="superscript"/>
          <w:rtl/>
        </w:rPr>
        <w:t>(</w:t>
      </w:r>
      <w:r w:rsidRPr="008C0FB5">
        <w:rPr>
          <w:rStyle w:val="af0"/>
          <w:rFonts w:cs="Saihat"/>
          <w:sz w:val="30"/>
          <w:rtl/>
        </w:rPr>
        <w:footnoteReference w:id="317"/>
      </w:r>
      <w:r w:rsidRPr="008C0FB5">
        <w:rPr>
          <w:rFonts w:cs="Saihat" w:hint="cs"/>
          <w:vertAlign w:val="superscript"/>
          <w:rtl/>
        </w:rPr>
        <w:t>)</w:t>
      </w:r>
      <w:r w:rsidRPr="008C0FB5">
        <w:rPr>
          <w:rFonts w:hint="cs"/>
          <w:rtl/>
        </w:rPr>
        <w:t xml:space="preserve">، ففي هذه الحالة يكون المحل غير مشروع وهو الأصنام رغم مشروعية الباعث وهو كسر هذه الأصنام وبذلك يتبين لنا ان الباعث يختلف عن المحل ولا يجوز الخلط بينهما.  </w:t>
      </w:r>
    </w:p>
    <w:p w14:paraId="3CEEA399" w14:textId="77777777" w:rsidR="0094067A" w:rsidRPr="008C0FB5" w:rsidRDefault="0094067A" w:rsidP="007A1F34">
      <w:pPr>
        <w:pStyle w:val="48"/>
        <w:numPr>
          <w:ilvl w:val="0"/>
          <w:numId w:val="33"/>
        </w:numPr>
        <w:rPr>
          <w:rFonts w:hint="cs"/>
          <w:rtl/>
        </w:rPr>
      </w:pPr>
      <w:r w:rsidRPr="008C0FB5">
        <w:rPr>
          <w:rFonts w:hint="cs"/>
          <w:rtl/>
        </w:rPr>
        <w:t>إن أغلب القوانين العربية ومن ضمنها القانون المدني العراقي رقم (40) لسنة 1951 , وقد خلطت بين النظريتين بشكل صريح أو ضمني وان قول الأستاذ السنهوري من ان القانون المدني المصري ومن تبعه قد أخذ بنظرية الباعث وهجر السبب القصدي محل نظر ذلك ان واقع النصوص يدل على غير ذلك من جهة ومن جهة ثانية ان الأخذ بنظرية الباعث وحدها يؤدي إلى ظهور القصور في أحكام القوانين المدنية، ذلك ان السبب القصدي هو أساس لثلاثة من أهم النظم القانونية الثابتة وهي الدفع بعدم التنفيذ والفسخ ونظرية تحمل التبعة، والتي لا تستطيع نظرية الباعث لوحدها تفسير هذه النظم القانونية الثلاثة.</w:t>
      </w:r>
    </w:p>
    <w:p w14:paraId="2A06FAFA" w14:textId="77777777" w:rsidR="0094067A" w:rsidRPr="008C0FB5" w:rsidRDefault="0094067A" w:rsidP="007A1F34">
      <w:pPr>
        <w:pStyle w:val="48"/>
        <w:numPr>
          <w:ilvl w:val="0"/>
          <w:numId w:val="33"/>
        </w:numPr>
        <w:rPr>
          <w:rFonts w:hint="cs"/>
          <w:rtl/>
        </w:rPr>
      </w:pPr>
      <w:r w:rsidRPr="008C0FB5">
        <w:rPr>
          <w:rFonts w:hint="cs"/>
          <w:rtl/>
        </w:rPr>
        <w:t>لقد وقع أغلب الفقهاء في خطأ حينما قرروا بأن الفقه الشافعي والفقه الحنفي قد وقفا موقفاً واحداً في اعتدادهم بالباعث على التعاقد، ذلك ان افلقه الشافعي لم يأخذ بالباعث إلا إذا ذكر صراحة في صيغة العقد، أما الفقه الحنفي فقد وقف موقفاً وسطاً وذلك لأنه لم يشترط ذكر الباعث صراحة في العقد ليأخذ به، ولم يترك المجال مفتوحاً للاعتداد بالباعث بمجرد العلم كما فعل الفقه الجعفري والمالكي والحنبلي، وإنما اشترط أما أن يذكر صراحة وأما انه مستفاد من طبيعة المحل، فإذا كان المحل لا يمكن أن يستخدم إلا في الحرام فلا يجوز إجازته وتبطل المعاملة لذلك.</w:t>
      </w:r>
    </w:p>
    <w:p w14:paraId="68D70CDA" w14:textId="77777777" w:rsidR="0094067A" w:rsidRPr="008C0FB5" w:rsidRDefault="0094067A" w:rsidP="007A1F34">
      <w:pPr>
        <w:pStyle w:val="48"/>
        <w:numPr>
          <w:ilvl w:val="0"/>
          <w:numId w:val="33"/>
        </w:numPr>
        <w:tabs>
          <w:tab w:val="right" w:pos="849"/>
        </w:tabs>
        <w:rPr>
          <w:rFonts w:hint="cs"/>
          <w:rtl/>
        </w:rPr>
      </w:pPr>
      <w:r w:rsidRPr="008C0FB5">
        <w:rPr>
          <w:rFonts w:hint="cs"/>
          <w:rtl/>
        </w:rPr>
        <w:t>إن السبب الرئيسي في اختلاف فقهاء القانون في تحديد طبيعة السبب وركنيته فيما إذا كان هو الغرض المباشر للمتعاقد أو هو الباعث البعيد الذي يراد تحقيقه هو إغفال المشرعين على تحديد هذه الطبيعة وترك هذا الأمر مفتوحاً أمام الفقه والقضاء للاجتهاد به مما أدى إلى اختلافهم فيه كل حسب قناعته.</w:t>
      </w:r>
    </w:p>
    <w:p w14:paraId="1D1504B4" w14:textId="77777777" w:rsidR="0094067A" w:rsidRPr="008C0FB5" w:rsidRDefault="0094067A" w:rsidP="00C253D0">
      <w:pPr>
        <w:pStyle w:val="48"/>
        <w:rPr>
          <w:rFonts w:hint="cs"/>
          <w:b/>
          <w:bCs/>
          <w:rtl/>
        </w:rPr>
      </w:pPr>
      <w:r w:rsidRPr="008C0FB5">
        <w:rPr>
          <w:rFonts w:hint="cs"/>
          <w:b/>
          <w:bCs/>
          <w:rtl/>
        </w:rPr>
        <w:lastRenderedPageBreak/>
        <w:t>ثانياً: المقترحات:</w:t>
      </w:r>
    </w:p>
    <w:p w14:paraId="4A622A62" w14:textId="77777777" w:rsidR="0094067A" w:rsidRPr="008C0FB5" w:rsidRDefault="0094067A" w:rsidP="007A1F34">
      <w:pPr>
        <w:pStyle w:val="48"/>
        <w:numPr>
          <w:ilvl w:val="0"/>
          <w:numId w:val="34"/>
        </w:numPr>
        <w:rPr>
          <w:rFonts w:hint="cs"/>
          <w:rtl/>
        </w:rPr>
      </w:pPr>
      <w:r w:rsidRPr="008C0FB5">
        <w:rPr>
          <w:rFonts w:hint="cs"/>
          <w:rtl/>
        </w:rPr>
        <w:t xml:space="preserve">نقترح تعديل المادة 73 من القانون المدني العراقي ذلك انها ذكرت الرضا والمحل ولم تتطرق إلى فكرة السبب، وفي رأينا يجب أن تكون صياغة النص على النحو الآتي: </w:t>
      </w:r>
    </w:p>
    <w:p w14:paraId="3300C5E6" w14:textId="77777777" w:rsidR="0094067A" w:rsidRPr="008C0FB5" w:rsidRDefault="0094067A" w:rsidP="00A613BA">
      <w:pPr>
        <w:pStyle w:val="afffffff1"/>
        <w:rPr>
          <w:rFonts w:hint="cs"/>
          <w:rtl/>
        </w:rPr>
      </w:pPr>
      <w:r w:rsidRPr="008C0FB5">
        <w:rPr>
          <w:rFonts w:hint="cs"/>
          <w:rtl/>
        </w:rPr>
        <w:t>العقد هو ارتباط الإيجاب الصادر من أحد المتعاقدين بقبول الآخر على وجه يثبت أثره في المعقود عليه لتحقيق غاية مشروعة</w:t>
      </w:r>
      <w:r w:rsidR="003E1E9A" w:rsidRPr="008C0FB5">
        <w:rPr>
          <w:rFonts w:cs="hashemi" w:hint="cs"/>
          <w:rtl/>
          <w:lang w:bidi="ar-IQ"/>
        </w:rPr>
        <w:t>.</w:t>
      </w:r>
    </w:p>
    <w:p w14:paraId="3FB4C94B" w14:textId="77777777" w:rsidR="0094067A" w:rsidRPr="008C0FB5" w:rsidRDefault="0094067A" w:rsidP="007A1F34">
      <w:pPr>
        <w:pStyle w:val="48"/>
        <w:numPr>
          <w:ilvl w:val="0"/>
          <w:numId w:val="34"/>
        </w:numPr>
        <w:rPr>
          <w:rFonts w:hint="cs"/>
          <w:rtl/>
        </w:rPr>
      </w:pPr>
      <w:r w:rsidRPr="008C0FB5">
        <w:rPr>
          <w:rFonts w:hint="cs"/>
          <w:rtl/>
        </w:rPr>
        <w:t>العمل وبشكل مخلص على استخلاص النظرية وأحكامها من الفقه الإسلامي ودون التقيد بمذهب معين وذلك لما يلي:</w:t>
      </w:r>
    </w:p>
    <w:p w14:paraId="159B19B1" w14:textId="77777777" w:rsidR="0094067A" w:rsidRPr="008C0FB5" w:rsidRDefault="0094067A" w:rsidP="00C35031">
      <w:pPr>
        <w:pStyle w:val="48"/>
        <w:rPr>
          <w:rFonts w:hint="cs"/>
          <w:rtl/>
        </w:rPr>
      </w:pPr>
      <w:r w:rsidRPr="008C0FB5">
        <w:rPr>
          <w:rFonts w:hint="cs"/>
          <w:rtl/>
        </w:rPr>
        <w:t>أ- لأن الثروة الفقهية التي تركها لنا السلف الصالح للفقهاء ثروة غنية، وكذلك دفعاً لكل شبهة تنسب النقص إلى أحكام الفقه الإسلامي العظيم وتحكم بالانتقاص عليه.</w:t>
      </w:r>
    </w:p>
    <w:p w14:paraId="7A354DCD" w14:textId="77777777" w:rsidR="0094067A" w:rsidRPr="008C0FB5" w:rsidRDefault="0094067A" w:rsidP="00C35031">
      <w:pPr>
        <w:pStyle w:val="48"/>
        <w:rPr>
          <w:rFonts w:hint="cs"/>
          <w:rtl/>
        </w:rPr>
      </w:pPr>
      <w:r w:rsidRPr="008C0FB5">
        <w:rPr>
          <w:rFonts w:hint="cs"/>
          <w:rtl/>
        </w:rPr>
        <w:t xml:space="preserve">ب- لكون أحكام </w:t>
      </w:r>
      <w:proofErr w:type="gramStart"/>
      <w:r w:rsidRPr="008C0FB5">
        <w:rPr>
          <w:rFonts w:hint="cs"/>
          <w:rtl/>
        </w:rPr>
        <w:t>القصود</w:t>
      </w:r>
      <w:proofErr w:type="gramEnd"/>
      <w:r w:rsidRPr="008C0FB5">
        <w:rPr>
          <w:rFonts w:hint="cs"/>
          <w:rtl/>
        </w:rPr>
        <w:t xml:space="preserve"> في العقود في الفقه الإسلامي أعم بحثاً وأدق حكماً وأصدق تعبيراً من بحث الفقه القانوني لها.</w:t>
      </w:r>
    </w:p>
    <w:p w14:paraId="69F69BA5" w14:textId="77777777" w:rsidR="0094067A" w:rsidRPr="008C0FB5" w:rsidRDefault="0094067A" w:rsidP="007A1F34">
      <w:pPr>
        <w:pStyle w:val="48"/>
        <w:numPr>
          <w:ilvl w:val="0"/>
          <w:numId w:val="35"/>
        </w:numPr>
        <w:rPr>
          <w:rFonts w:hint="cs"/>
          <w:rtl/>
        </w:rPr>
      </w:pPr>
      <w:r w:rsidRPr="008C0FB5">
        <w:rPr>
          <w:rFonts w:hint="cs"/>
          <w:rtl/>
        </w:rPr>
        <w:t xml:space="preserve">ونقترح أخيراً تعديل الفقرة الأولى من النص القانوني الخاص </w:t>
      </w:r>
      <w:proofErr w:type="gramStart"/>
      <w:r w:rsidRPr="008C0FB5">
        <w:rPr>
          <w:rFonts w:hint="cs"/>
          <w:rtl/>
        </w:rPr>
        <w:t>بالسبب</w:t>
      </w:r>
      <w:r w:rsidRPr="008C0FB5">
        <w:rPr>
          <w:rFonts w:cs="Saihat" w:hint="cs"/>
          <w:vertAlign w:val="superscript"/>
          <w:rtl/>
        </w:rPr>
        <w:t>(</w:t>
      </w:r>
      <w:proofErr w:type="gramEnd"/>
      <w:r w:rsidRPr="008C0FB5">
        <w:rPr>
          <w:rStyle w:val="af0"/>
          <w:rFonts w:cs="Saihat"/>
          <w:sz w:val="30"/>
          <w:rtl/>
        </w:rPr>
        <w:footnoteReference w:id="318"/>
      </w:r>
      <w:r w:rsidRPr="008C0FB5">
        <w:rPr>
          <w:rFonts w:cs="Saihat" w:hint="cs"/>
          <w:vertAlign w:val="superscript"/>
          <w:rtl/>
        </w:rPr>
        <w:t>)</w:t>
      </w:r>
      <w:r w:rsidRPr="008C0FB5">
        <w:rPr>
          <w:rFonts w:hint="cs"/>
          <w:rtl/>
        </w:rPr>
        <w:t xml:space="preserve"> وتكون على النحو التالي:  </w:t>
      </w:r>
    </w:p>
    <w:p w14:paraId="34BDF19E" w14:textId="77777777" w:rsidR="0094067A" w:rsidRPr="008C0FB5" w:rsidRDefault="0094067A" w:rsidP="00A613BA">
      <w:pPr>
        <w:pStyle w:val="afffffff1"/>
        <w:numPr>
          <w:ilvl w:val="0"/>
          <w:numId w:val="16"/>
        </w:numPr>
        <w:rPr>
          <w:rFonts w:hint="cs"/>
          <w:rtl/>
        </w:rPr>
      </w:pPr>
      <w:r w:rsidRPr="008C0FB5">
        <w:rPr>
          <w:rFonts w:hint="cs"/>
          <w:rtl/>
        </w:rPr>
        <w:t>يكون الالتزام باطلاً إذا التزم المتعاقد دون سبب، والسبب هنا هو الغرض المباشر المقصود من العقد.</w:t>
      </w:r>
    </w:p>
    <w:p w14:paraId="75EB0AB8" w14:textId="77777777" w:rsidR="0094067A" w:rsidRPr="008C0FB5" w:rsidRDefault="0094067A" w:rsidP="00A613BA">
      <w:pPr>
        <w:pStyle w:val="afffffff1"/>
        <w:numPr>
          <w:ilvl w:val="0"/>
          <w:numId w:val="16"/>
        </w:numPr>
        <w:rPr>
          <w:rFonts w:hint="cs"/>
          <w:rtl/>
        </w:rPr>
      </w:pPr>
      <w:r w:rsidRPr="008C0FB5">
        <w:rPr>
          <w:rFonts w:hint="cs"/>
          <w:rtl/>
        </w:rPr>
        <w:t>يبطل العقد إذا كان الباعث الذي دفع أحد المتعاقدين إلى التعاقد مخالفاً للقانون، أو النظام العام أو الآداب وكان الطرف الآخر يعلم بهذا الباعث أو كان في استطاعته أن يعلم به.</w:t>
      </w:r>
    </w:p>
    <w:p w14:paraId="55072A41" w14:textId="77777777" w:rsidR="0094067A" w:rsidRPr="008C0FB5" w:rsidRDefault="0094067A" w:rsidP="00C35031">
      <w:pPr>
        <w:pStyle w:val="35"/>
        <w:rPr>
          <w:rFonts w:hint="cs"/>
          <w:rtl/>
        </w:rPr>
      </w:pPr>
      <w:r w:rsidRPr="008C0FB5">
        <w:rPr>
          <w:rFonts w:hint="cs"/>
          <w:rtl/>
        </w:rPr>
        <w:t>ونكتفي بهذا القدر، وبه ننهي بحثنا في نظرية الباعث في الفقهين الإسلامي والقانوني.</w:t>
      </w:r>
    </w:p>
    <w:p w14:paraId="0EECF1BB" w14:textId="77777777" w:rsidR="0094067A" w:rsidRPr="008C0FB5" w:rsidRDefault="0094067A" w:rsidP="00C35031">
      <w:pPr>
        <w:pStyle w:val="35"/>
        <w:rPr>
          <w:rtl/>
        </w:rPr>
      </w:pPr>
      <w:r w:rsidRPr="008C0FB5">
        <w:rPr>
          <w:rFonts w:hint="cs"/>
          <w:rtl/>
        </w:rPr>
        <w:t>وآخر دعوانا أن الحمد لله رب العالمين، وصلى الله على سيدنا محمد وعلى آله الطيبين الطاهرين وأصحابه المنتجبين</w:t>
      </w:r>
      <w:r w:rsidRPr="008C0FB5">
        <w:rPr>
          <w:rtl/>
        </w:rPr>
        <w:t xml:space="preserve">. </w:t>
      </w:r>
    </w:p>
    <w:p w14:paraId="33025EE9" w14:textId="77777777" w:rsidR="0094067A" w:rsidRPr="008C0FB5" w:rsidRDefault="0094067A" w:rsidP="0094067A">
      <w:pPr>
        <w:pStyle w:val="48"/>
        <w:rPr>
          <w:rtl/>
        </w:rPr>
        <w:sectPr w:rsidR="0094067A" w:rsidRPr="008C0FB5" w:rsidSect="00763506">
          <w:headerReference w:type="default" r:id="rId25"/>
          <w:footnotePr>
            <w:numRestart w:val="eachPage"/>
          </w:footnotePr>
          <w:type w:val="oddPage"/>
          <w:pgSz w:w="11906" w:h="16838" w:code="9"/>
          <w:pgMar w:top="1701" w:right="1701" w:bottom="1701" w:left="1418" w:header="709" w:footer="1418" w:gutter="0"/>
          <w:cols w:space="708"/>
          <w:titlePg/>
          <w:bidi/>
          <w:rtlGutter/>
          <w:docGrid w:linePitch="360"/>
        </w:sectPr>
      </w:pPr>
    </w:p>
    <w:p w14:paraId="7CFFF186" w14:textId="1AF52AE7" w:rsidR="0094067A" w:rsidRPr="008C0FB5" w:rsidRDefault="007C3C34" w:rsidP="0094067A">
      <w:pPr>
        <w:pStyle w:val="afffffff0"/>
        <w:rPr>
          <w:rFonts w:hint="cs"/>
          <w:color w:val="auto"/>
          <w:rtl/>
        </w:rPr>
      </w:pPr>
      <w:r w:rsidRPr="008C0FB5">
        <w:rPr>
          <w:noProof/>
          <w:color w:val="auto"/>
          <w:rtl/>
        </w:rPr>
        <w:lastRenderedPageBreak/>
        <w:drawing>
          <wp:anchor distT="0" distB="0" distL="114300" distR="114300" simplePos="0" relativeHeight="251664896" behindDoc="1" locked="0" layoutInCell="1" allowOverlap="1" wp14:anchorId="14E355D7" wp14:editId="395C09EA">
            <wp:simplePos x="0" y="0"/>
            <wp:positionH relativeFrom="margin">
              <wp:posOffset>-128905</wp:posOffset>
            </wp:positionH>
            <wp:positionV relativeFrom="page">
              <wp:posOffset>1009650</wp:posOffset>
            </wp:positionV>
            <wp:extent cx="5772785" cy="8601075"/>
            <wp:effectExtent l="0" t="0" r="0" b="0"/>
            <wp:wrapNone/>
            <wp:docPr id="178" name="Picture 29" descr="0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_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19C91" w14:textId="77777777" w:rsidR="0094067A" w:rsidRPr="008C0FB5" w:rsidRDefault="0094067A" w:rsidP="0094067A">
      <w:pPr>
        <w:pStyle w:val="20"/>
        <w:rPr>
          <w:rFonts w:hint="cs"/>
          <w:rtl/>
        </w:rPr>
      </w:pPr>
    </w:p>
    <w:p w14:paraId="474015F5" w14:textId="77777777" w:rsidR="005947C9" w:rsidRPr="008C0FB5" w:rsidRDefault="005947C9" w:rsidP="0094067A">
      <w:pPr>
        <w:pStyle w:val="20"/>
        <w:rPr>
          <w:rFonts w:hint="cs"/>
          <w:rtl/>
        </w:rPr>
      </w:pPr>
    </w:p>
    <w:p w14:paraId="00972317" w14:textId="77777777" w:rsidR="0094067A" w:rsidRPr="008C0FB5" w:rsidRDefault="0094067A" w:rsidP="0094067A">
      <w:pPr>
        <w:pStyle w:val="20"/>
        <w:rPr>
          <w:rtl/>
        </w:rPr>
      </w:pPr>
      <w:bookmarkStart w:id="101" w:name="_Toc8643693"/>
      <w:r w:rsidRPr="008C0FB5">
        <w:rPr>
          <w:rtl/>
        </w:rPr>
        <w:t>قائمة</w:t>
      </w:r>
      <w:bookmarkEnd w:id="101"/>
      <w:r w:rsidRPr="008C0FB5">
        <w:rPr>
          <w:rtl/>
        </w:rPr>
        <w:t xml:space="preserve"> </w:t>
      </w:r>
    </w:p>
    <w:p w14:paraId="4129CD9F" w14:textId="77777777" w:rsidR="0094067A" w:rsidRPr="008C0FB5" w:rsidRDefault="0094067A" w:rsidP="0094067A">
      <w:pPr>
        <w:pStyle w:val="20"/>
        <w:rPr>
          <w:rFonts w:hint="cs"/>
          <w:b/>
          <w:bCs/>
          <w:sz w:val="30"/>
          <w:szCs w:val="30"/>
          <w:rtl/>
        </w:rPr>
      </w:pPr>
      <w:bookmarkStart w:id="102" w:name="_Toc8643694"/>
      <w:r w:rsidRPr="008C0FB5">
        <w:rPr>
          <w:rtl/>
        </w:rPr>
        <w:t>المصـــادر والمراجــــــع</w:t>
      </w:r>
      <w:bookmarkEnd w:id="102"/>
    </w:p>
    <w:p w14:paraId="7BC2234D" w14:textId="77777777" w:rsidR="0094067A" w:rsidRPr="008C0FB5" w:rsidRDefault="0094067A" w:rsidP="0094067A">
      <w:pPr>
        <w:pStyle w:val="35"/>
        <w:rPr>
          <w:rFonts w:hint="cs"/>
          <w:rtl/>
        </w:rPr>
      </w:pPr>
    </w:p>
    <w:p w14:paraId="61D144C5" w14:textId="77777777" w:rsidR="0094067A" w:rsidRPr="008C0FB5" w:rsidRDefault="0094067A" w:rsidP="0094067A">
      <w:pPr>
        <w:pStyle w:val="48"/>
        <w:rPr>
          <w:rtl/>
        </w:rPr>
        <w:sectPr w:rsidR="0094067A" w:rsidRPr="008C0FB5" w:rsidSect="0094067A">
          <w:footnotePr>
            <w:numRestart w:val="eachPage"/>
          </w:footnotePr>
          <w:pgSz w:w="11906" w:h="16838" w:code="9"/>
          <w:pgMar w:top="1701" w:right="1701" w:bottom="1701" w:left="1418" w:header="709" w:footer="1418" w:gutter="0"/>
          <w:cols w:space="708"/>
          <w:titlePg/>
          <w:bidi/>
          <w:rtlGutter/>
          <w:docGrid w:linePitch="360"/>
        </w:sectPr>
      </w:pPr>
    </w:p>
    <w:p w14:paraId="344826E3" w14:textId="77777777" w:rsidR="0094067A" w:rsidRPr="008C0FB5" w:rsidRDefault="0094067A" w:rsidP="0094067A">
      <w:pPr>
        <w:pStyle w:val="48"/>
        <w:rPr>
          <w:rFonts w:hint="cs"/>
          <w:rtl/>
        </w:rPr>
      </w:pPr>
    </w:p>
    <w:p w14:paraId="4F08ACD4" w14:textId="77777777" w:rsidR="0094067A" w:rsidRPr="008C0FB5" w:rsidRDefault="0094067A" w:rsidP="0094067A">
      <w:pPr>
        <w:pStyle w:val="48"/>
        <w:rPr>
          <w:rFonts w:hint="cs"/>
          <w:rtl/>
        </w:rPr>
      </w:pPr>
    </w:p>
    <w:p w14:paraId="1ADB1D1B" w14:textId="77777777" w:rsidR="0094067A" w:rsidRPr="008C0FB5" w:rsidRDefault="0094067A" w:rsidP="00C35031">
      <w:pPr>
        <w:pStyle w:val="35"/>
      </w:pPr>
      <w:bookmarkStart w:id="103" w:name="_Toc396826356"/>
    </w:p>
    <w:p w14:paraId="62F85159" w14:textId="77777777" w:rsidR="0094067A" w:rsidRPr="008C0FB5" w:rsidRDefault="0094067A" w:rsidP="00C35031">
      <w:pPr>
        <w:pStyle w:val="35"/>
      </w:pPr>
    </w:p>
    <w:p w14:paraId="6B55BA8A" w14:textId="77777777" w:rsidR="0094067A" w:rsidRPr="008C0FB5" w:rsidRDefault="0094067A" w:rsidP="00C35031">
      <w:pPr>
        <w:pStyle w:val="35"/>
        <w:rPr>
          <w:rtl/>
        </w:rPr>
      </w:pPr>
    </w:p>
    <w:bookmarkEnd w:id="103"/>
    <w:p w14:paraId="52E23FF6" w14:textId="77777777" w:rsidR="0094067A" w:rsidRPr="008C0FB5" w:rsidRDefault="0094067A" w:rsidP="0094067A">
      <w:pPr>
        <w:jc w:val="center"/>
        <w:rPr>
          <w:b/>
          <w:bCs/>
          <w:lang w:bidi="ar-IQ"/>
        </w:rPr>
      </w:pPr>
    </w:p>
    <w:p w14:paraId="4CBC95B6" w14:textId="77777777" w:rsidR="0094067A" w:rsidRPr="008C0FB5" w:rsidRDefault="0094067A" w:rsidP="0094067A">
      <w:pPr>
        <w:jc w:val="center"/>
        <w:rPr>
          <w:b/>
          <w:bCs/>
          <w:lang w:bidi="ar-IQ"/>
        </w:rPr>
      </w:pPr>
    </w:p>
    <w:p w14:paraId="79C83CAF" w14:textId="77777777" w:rsidR="0094067A" w:rsidRPr="008C0FB5" w:rsidRDefault="0094067A" w:rsidP="00914FA7">
      <w:pPr>
        <w:pStyle w:val="af8"/>
      </w:pPr>
      <w:bookmarkStart w:id="104" w:name="_Toc8643695"/>
      <w:r w:rsidRPr="008C0FB5">
        <w:rPr>
          <w:rFonts w:hint="cs"/>
          <w:rtl/>
        </w:rPr>
        <w:t>قائمة المصادر والمراجع</w:t>
      </w:r>
      <w:bookmarkEnd w:id="104"/>
    </w:p>
    <w:p w14:paraId="11CCF00D" w14:textId="77777777" w:rsidR="0094067A" w:rsidRPr="008C0FB5" w:rsidRDefault="0094067A" w:rsidP="00914FA7">
      <w:pPr>
        <w:pStyle w:val="48"/>
        <w:rPr>
          <w:rFonts w:hint="cs"/>
          <w:rtl/>
        </w:rPr>
      </w:pPr>
      <w:r w:rsidRPr="008C0FB5">
        <w:rPr>
          <w:rFonts w:hint="cs"/>
          <w:rtl/>
        </w:rPr>
        <w:t>أولاً: المصادر باللغة العربية</w:t>
      </w:r>
    </w:p>
    <w:p w14:paraId="7E21DA8A" w14:textId="77777777" w:rsidR="0094067A" w:rsidRPr="008C0FB5" w:rsidRDefault="0094067A" w:rsidP="00914FA7">
      <w:pPr>
        <w:pStyle w:val="48"/>
        <w:numPr>
          <w:ilvl w:val="0"/>
          <w:numId w:val="48"/>
        </w:numPr>
        <w:rPr>
          <w:rFonts w:hint="cs"/>
          <w:rtl/>
        </w:rPr>
      </w:pPr>
      <w:r w:rsidRPr="008C0FB5">
        <w:rPr>
          <w:rFonts w:hint="cs"/>
          <w:rtl/>
        </w:rPr>
        <w:t>القرآن الكريم.</w:t>
      </w:r>
    </w:p>
    <w:p w14:paraId="73C9ECB2" w14:textId="77777777" w:rsidR="0094067A" w:rsidRPr="008C0FB5" w:rsidRDefault="0094067A" w:rsidP="00914FA7">
      <w:pPr>
        <w:pStyle w:val="48"/>
        <w:numPr>
          <w:ilvl w:val="1"/>
          <w:numId w:val="36"/>
        </w:numPr>
        <w:ind w:left="428" w:hangingChars="142" w:hanging="428"/>
        <w:rPr>
          <w:rFonts w:hint="cs"/>
          <w:b/>
          <w:bCs/>
          <w:rtl/>
        </w:rPr>
      </w:pPr>
      <w:r w:rsidRPr="008C0FB5">
        <w:rPr>
          <w:rFonts w:hint="cs"/>
          <w:b/>
          <w:bCs/>
          <w:rtl/>
        </w:rPr>
        <w:t>كتب التفسير وأحكام القرآن:</w:t>
      </w:r>
    </w:p>
    <w:p w14:paraId="248A5F94"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الصابوني محمد علي، صفوة التفاسير، طبعة دار الفكر، بيروت، بدون سنة طبع.</w:t>
      </w:r>
    </w:p>
    <w:p w14:paraId="6B816E6E"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الصابوني محمد علي، روائع البيان في تفسير الأحكام في القرآن، ج2، دار الصابوني للنشر.</w:t>
      </w:r>
    </w:p>
    <w:p w14:paraId="5F765E9B"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القرطبي (أبو عبد الله محمد بن أحمد الأنصاري)، الجامع لأحكام القرآن، ج2، ط2، دار إحياء التراث العربي، بيروت.</w:t>
      </w:r>
    </w:p>
    <w:p w14:paraId="5B1848D5" w14:textId="77777777" w:rsidR="0094067A" w:rsidRPr="008C0FB5" w:rsidRDefault="0094067A" w:rsidP="007A1F34">
      <w:pPr>
        <w:pStyle w:val="48"/>
        <w:numPr>
          <w:ilvl w:val="1"/>
          <w:numId w:val="36"/>
        </w:numPr>
        <w:ind w:left="426" w:hangingChars="142" w:hanging="426"/>
        <w:rPr>
          <w:rFonts w:hint="cs"/>
          <w:rtl/>
        </w:rPr>
      </w:pPr>
      <w:r w:rsidRPr="008C0FB5">
        <w:rPr>
          <w:rFonts w:hint="cs"/>
          <w:rtl/>
        </w:rPr>
        <w:t>كتب الحديث والسيرة:</w:t>
      </w:r>
    </w:p>
    <w:p w14:paraId="4DAEFC21"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الصنعاني (محمد بن إسماعيل)، سبل السلام شرح بلوغ المرام، طبعة دار الجيل، بيروت، 1980.</w:t>
      </w:r>
    </w:p>
    <w:p w14:paraId="4D0B5547"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العسقلاني (أحمد بن علي)، فتح الباري شرح صحيح البخاري، ج1، ط1، دار الفكر، بدون سنة طبع.</w:t>
      </w:r>
    </w:p>
    <w:p w14:paraId="46D37616"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العسقلاني، فتح الباري، شرح صحيح البخاري، ج8، دار الكتب العلمية، بيروت، 1989.</w:t>
      </w:r>
    </w:p>
    <w:p w14:paraId="3965F60C"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النووي (يحيى بن شرق)، المنهاج شرح صحيح الإمام مسلم بن الحجاج، طبعة دار الشعب، ج13.</w:t>
      </w:r>
    </w:p>
    <w:p w14:paraId="179CEBD9"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المراجع الفقهية الإسلامية القديمة:</w:t>
      </w:r>
    </w:p>
    <w:p w14:paraId="7A10B43A"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أبو عبد الله محمد، الفروع، ج2، القاهرة، 1339ه.</w:t>
      </w:r>
    </w:p>
    <w:p w14:paraId="6DDF1173"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الأنصاري (الشيخ مرتضى)، المكاسب، ج2، مطبعة الآداب، النجف الأشرف، تحقيق: السيد محمد كلانتر، بدون سنة طبع.</w:t>
      </w:r>
    </w:p>
    <w:p w14:paraId="21AD56B3"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ابن حزم (أبو محمد علي بن أحمد)، الأحكام في أصول الأحكام، ج5، مطبعة السعادة، القاهرة، 1348ه </w:t>
      </w:r>
      <w:r w:rsidRPr="008C0FB5">
        <w:rPr>
          <w:rFonts w:ascii="Times New Roman" w:hAnsi="Times New Roman" w:cs="Times New Roman" w:hint="cs"/>
          <w:rtl/>
        </w:rPr>
        <w:t>–</w:t>
      </w:r>
      <w:r w:rsidRPr="008C0FB5">
        <w:rPr>
          <w:rFonts w:hint="cs"/>
          <w:rtl/>
        </w:rPr>
        <w:t xml:space="preserve"> 1927</w:t>
      </w:r>
      <w:r w:rsidRPr="008C0FB5">
        <w:rPr>
          <w:rFonts w:ascii="Lotus Linotype" w:hAnsi="Lotus Linotype" w:hint="cs"/>
          <w:rtl/>
        </w:rPr>
        <w:t>م</w:t>
      </w:r>
      <w:r w:rsidRPr="008C0FB5">
        <w:rPr>
          <w:rFonts w:hint="cs"/>
          <w:rtl/>
        </w:rPr>
        <w:t>.</w:t>
      </w:r>
    </w:p>
    <w:p w14:paraId="11E3D67D"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حزم (أبو محمد علي بن أحمد)، المحلى، ج9، منشورات كلية البخاري للطباعة والنشر والتوزيع، بيروت.</w:t>
      </w:r>
    </w:p>
    <w:p w14:paraId="6CA83B7F"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ابن اقليم الجوزية، أعلام الموقعين، عن رب العالمين، المطبعة المنيرية، القاهرة، 1325ه </w:t>
      </w:r>
      <w:r w:rsidRPr="008C0FB5">
        <w:rPr>
          <w:rFonts w:ascii="Times New Roman" w:hAnsi="Times New Roman" w:cs="Times New Roman" w:hint="cs"/>
          <w:rtl/>
        </w:rPr>
        <w:t>–</w:t>
      </w:r>
      <w:r w:rsidRPr="008C0FB5">
        <w:rPr>
          <w:rFonts w:hint="cs"/>
          <w:rtl/>
        </w:rPr>
        <w:t xml:space="preserve"> 1904</w:t>
      </w:r>
      <w:r w:rsidRPr="008C0FB5">
        <w:rPr>
          <w:rFonts w:ascii="Lotus Linotype" w:hAnsi="Lotus Linotype" w:hint="cs"/>
          <w:rtl/>
        </w:rPr>
        <w:t>م</w:t>
      </w:r>
      <w:r w:rsidRPr="008C0FB5">
        <w:rPr>
          <w:rFonts w:hint="cs"/>
          <w:rtl/>
        </w:rPr>
        <w:t>.</w:t>
      </w:r>
    </w:p>
    <w:p w14:paraId="0CFF58EC" w14:textId="77777777" w:rsidR="0094067A" w:rsidRPr="008C0FB5" w:rsidRDefault="0094067A" w:rsidP="007A1F34">
      <w:pPr>
        <w:pStyle w:val="48"/>
        <w:numPr>
          <w:ilvl w:val="0"/>
          <w:numId w:val="36"/>
        </w:numPr>
        <w:ind w:left="426" w:hangingChars="142" w:hanging="426"/>
        <w:rPr>
          <w:rFonts w:hint="cs"/>
          <w:rtl/>
        </w:rPr>
      </w:pPr>
      <w:r w:rsidRPr="008C0FB5">
        <w:rPr>
          <w:rFonts w:hint="cs"/>
          <w:rtl/>
        </w:rPr>
        <w:lastRenderedPageBreak/>
        <w:t xml:space="preserve">ابن الهمام (كمال الدين)، فتح القدير شرح </w:t>
      </w:r>
      <w:proofErr w:type="gramStart"/>
      <w:r w:rsidRPr="008C0FB5">
        <w:rPr>
          <w:rFonts w:hint="cs"/>
          <w:rtl/>
        </w:rPr>
        <w:t>الهداية،ج</w:t>
      </w:r>
      <w:proofErr w:type="gramEnd"/>
      <w:r w:rsidRPr="008C0FB5">
        <w:rPr>
          <w:rFonts w:hint="cs"/>
          <w:rtl/>
        </w:rPr>
        <w:t xml:space="preserve">5، مطبعة بولاق، 1315ه </w:t>
      </w:r>
      <w:r w:rsidRPr="008C0FB5">
        <w:rPr>
          <w:rFonts w:ascii="Times New Roman" w:hAnsi="Times New Roman" w:cs="Times New Roman" w:hint="cs"/>
          <w:rtl/>
        </w:rPr>
        <w:t>–</w:t>
      </w:r>
      <w:r w:rsidRPr="008C0FB5">
        <w:rPr>
          <w:rFonts w:hint="cs"/>
          <w:rtl/>
        </w:rPr>
        <w:t xml:space="preserve"> 1894</w:t>
      </w:r>
      <w:r w:rsidRPr="008C0FB5">
        <w:rPr>
          <w:rFonts w:ascii="Lotus Linotype" w:hAnsi="Lotus Linotype" w:hint="cs"/>
          <w:rtl/>
        </w:rPr>
        <w:t>م</w:t>
      </w:r>
      <w:r w:rsidRPr="008C0FB5">
        <w:rPr>
          <w:rFonts w:hint="cs"/>
          <w:rtl/>
        </w:rPr>
        <w:t>.</w:t>
      </w:r>
    </w:p>
    <w:p w14:paraId="3B030ADC"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ابن تيمية (تقي الدين أحمد بن شهاب)، فتاوى بن تيمية، ج3، القاهرة، 1326ه </w:t>
      </w:r>
      <w:r w:rsidRPr="008C0FB5">
        <w:rPr>
          <w:rFonts w:ascii="Times New Roman" w:hAnsi="Times New Roman" w:cs="Times New Roman" w:hint="cs"/>
          <w:rtl/>
        </w:rPr>
        <w:t>–</w:t>
      </w:r>
      <w:r w:rsidRPr="008C0FB5">
        <w:rPr>
          <w:rFonts w:hint="cs"/>
          <w:rtl/>
        </w:rPr>
        <w:t xml:space="preserve"> 1905</w:t>
      </w:r>
      <w:r w:rsidRPr="008C0FB5">
        <w:rPr>
          <w:rFonts w:ascii="Lotus Linotype" w:hAnsi="Lotus Linotype" w:hint="cs"/>
          <w:rtl/>
        </w:rPr>
        <w:t>م</w:t>
      </w:r>
      <w:r w:rsidRPr="008C0FB5">
        <w:rPr>
          <w:rFonts w:hint="cs"/>
          <w:rtl/>
        </w:rPr>
        <w:t>.</w:t>
      </w:r>
    </w:p>
    <w:p w14:paraId="7EC46B71"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جزيء (محمد بن أحمد)، تقريب الوصول إلى علم الأصول، تحقيق: د. عبد الله الجبوري، مطبعة الخلود، بغداد، 1990.</w:t>
      </w:r>
    </w:p>
    <w:p w14:paraId="505ABFDE"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17- ابن رجب (عبد الرحمن أبو الفرج)، القواعد في الفقه الإسلامي، ط1، مطبعة الصدق الخيرية، القاهرة، 1933م.</w:t>
      </w:r>
    </w:p>
    <w:p w14:paraId="447F7E31"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رجب (عبد الرحمن أبو الفرج)، القواعد في الفقه الإسلامي، ط1، طبع مطبعة الكليات الأزهرية، مصر، 1971م.</w:t>
      </w:r>
    </w:p>
    <w:p w14:paraId="6A18EFC5"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عابدين (أحمد أمين)، رد المحتار على حاشية الدر المختار، ج4، ط3، المطبعة الكبرى الأميرية، القاهرة، 1323ه.</w:t>
      </w:r>
    </w:p>
    <w:p w14:paraId="59B34DD4"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عبد السلام (عز الدين)، قواعد الأحكام في مصالح الأنام، ج1، المطبعة الحسينية، القاهرة، 1352ه.</w:t>
      </w:r>
    </w:p>
    <w:p w14:paraId="4EBDA21F"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قاضي سماوة، جامع الفضولين، المطبعة الأزهرية، 133ه.</w:t>
      </w:r>
    </w:p>
    <w:p w14:paraId="5C014C83"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قدامة المقدسي (محمد بن عبد الله بن أحمد)، المفتي، ج4، ط3، دار المنار بالقاهرة، 1367ه.</w:t>
      </w:r>
    </w:p>
    <w:p w14:paraId="38E121D8"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نجيم (أحمد زين العابدين)، الأشباه والنظائر، المطبعة الحسينية المصرية، القاهرة، 1322ه.</w:t>
      </w:r>
    </w:p>
    <w:p w14:paraId="2FDC36A8"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ابن نجيم (أحمد زين العابدين)، البحر الرائق شرح كنز الدقائق، ج5، مصر، 1334ه.</w:t>
      </w:r>
    </w:p>
    <w:p w14:paraId="2E29A70B"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الآمدي (سيف الدين علي بن علي محمد)، الأحكام في أصول الأحكام، ج4، طبع شركة الحلبي، دمشق، بدون سنة طبع.</w:t>
      </w:r>
    </w:p>
    <w:p w14:paraId="0EFA2CF0"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البخاري (علاء الدين عبد العزيز)، كشف الأسرار أصول فخر الإسلام </w:t>
      </w:r>
      <w:proofErr w:type="spellStart"/>
      <w:r w:rsidRPr="008C0FB5">
        <w:rPr>
          <w:rFonts w:hint="cs"/>
          <w:rtl/>
        </w:rPr>
        <w:t>البزدوي</w:t>
      </w:r>
      <w:proofErr w:type="spellEnd"/>
      <w:r w:rsidRPr="008C0FB5">
        <w:rPr>
          <w:rFonts w:hint="cs"/>
          <w:rtl/>
        </w:rPr>
        <w:t xml:space="preserve">، ج4، </w:t>
      </w:r>
      <w:proofErr w:type="spellStart"/>
      <w:r w:rsidRPr="008C0FB5">
        <w:rPr>
          <w:rFonts w:hint="cs"/>
          <w:rtl/>
        </w:rPr>
        <w:t>الاستانة</w:t>
      </w:r>
      <w:proofErr w:type="spellEnd"/>
      <w:r w:rsidRPr="008C0FB5">
        <w:rPr>
          <w:rFonts w:hint="cs"/>
          <w:rtl/>
        </w:rPr>
        <w:t xml:space="preserve">، 1302ه </w:t>
      </w:r>
      <w:r w:rsidRPr="008C0FB5">
        <w:rPr>
          <w:rFonts w:ascii="Times New Roman" w:hAnsi="Times New Roman" w:cs="Times New Roman" w:hint="cs"/>
          <w:rtl/>
        </w:rPr>
        <w:t>–</w:t>
      </w:r>
      <w:r w:rsidRPr="008C0FB5">
        <w:rPr>
          <w:rFonts w:hint="cs"/>
          <w:rtl/>
        </w:rPr>
        <w:t xml:space="preserve"> 1881</w:t>
      </w:r>
      <w:r w:rsidRPr="008C0FB5">
        <w:rPr>
          <w:rFonts w:ascii="Lotus Linotype" w:hAnsi="Lotus Linotype" w:hint="cs"/>
          <w:rtl/>
        </w:rPr>
        <w:t>م</w:t>
      </w:r>
      <w:r w:rsidRPr="008C0FB5">
        <w:rPr>
          <w:rFonts w:hint="cs"/>
          <w:rtl/>
        </w:rPr>
        <w:t>.</w:t>
      </w:r>
    </w:p>
    <w:p w14:paraId="2E9AA1CB"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الحطاب (محمد بن عبد الرحمن)، تحديد الكلام في مسائل الالتزام، بدون مكان وسنة طبع.</w:t>
      </w:r>
    </w:p>
    <w:p w14:paraId="7D3DC1D5"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الحطاب (محمد بن عبد الرحمن)، شرح على مواهب الجليل، ج4، مطبعة السعادة، 1929م.</w:t>
      </w:r>
    </w:p>
    <w:p w14:paraId="45420775"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الخصاف، الحيل، القاهرة، 1314ه.</w:t>
      </w:r>
    </w:p>
    <w:p w14:paraId="1124EFBE"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الخميني (الإمام روح الله)، المكاسب، ج1، مطبعة الاعتماد، قم، 1373ه.</w:t>
      </w:r>
    </w:p>
    <w:p w14:paraId="510E1680"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الزيلعي (فخر الدين عثمان بن علي)، تبين الحقائق شرح كنز الدقائق، ج2، المطبعة الكبرى الأميرية، القاهرة، 1313ه.</w:t>
      </w:r>
    </w:p>
    <w:p w14:paraId="24821B79"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الزيلعي (فخر الدين عثمان بن علي)، تبين الحقائق شرح كنز الدقائق، بولاق، 1313ه.</w:t>
      </w:r>
    </w:p>
    <w:p w14:paraId="2E64A4CF"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السرخسي (شمس الدين)، المبسوط، ج16، ط2، دار المعرفة للطباعة والنشر، بيروت.</w:t>
      </w:r>
    </w:p>
    <w:p w14:paraId="66136759"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السيوطي (جلال الدين عبد الرحمن)، الأشباه والنظائر في قواعد وفروع الشافعية، مطبعة مصطفى أحمد، 1936م.</w:t>
      </w:r>
    </w:p>
    <w:p w14:paraId="1170AC7C"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الشاطبي (أبي إسحاق إبراهيم بن موسى اللخمي الغرناطي المالكي)، الموافقات، ج2، المطبعة الرحمانية، مصر، بجون سنة طبع.</w:t>
      </w:r>
    </w:p>
    <w:p w14:paraId="2A95BAC9"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الشاطبي (أبي إسحاق إبراهيم بن موسى اللخمي الغرناطي المالكي)، الموافقات، ج3، دار </w:t>
      </w:r>
      <w:r w:rsidRPr="008C0FB5">
        <w:rPr>
          <w:rFonts w:hint="cs"/>
          <w:rtl/>
        </w:rPr>
        <w:lastRenderedPageBreak/>
        <w:t>الفكر العربي، بلا سنة طبع.</w:t>
      </w:r>
    </w:p>
    <w:p w14:paraId="4D2B6B2A"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الشاطبي (أبي إسحاق إبراهيم بن موسى اللخمي الغرناطي المالكي)، الموافقات، ج4، مطبعة صحيح، مصر، بلا سنة طبع.</w:t>
      </w:r>
    </w:p>
    <w:p w14:paraId="15BB024D"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الشافعي (أبي عبد الله محمد بن إدريس)، الأم، ط3، دار الفكر للطباعة والنشر والتوزيع، بيروت، 1980م.</w:t>
      </w:r>
    </w:p>
    <w:p w14:paraId="425407DC"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شرف الدين الحسين بن أحمد بن الحسين، الروض النضير، شرح مجموع الفقه الكبير، ج3، ط1، مطبعة السعادة، مصر، 1384ه.</w:t>
      </w:r>
    </w:p>
    <w:p w14:paraId="2CBE4C21"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الشيرازي (أبو إسحاق)، المهذب، ج2، مطبعة الحلبي، مصر، 1343ه.</w:t>
      </w:r>
    </w:p>
    <w:p w14:paraId="1B7B5339"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العاملي (الشهيد زين الدين </w:t>
      </w:r>
      <w:proofErr w:type="spellStart"/>
      <w:r w:rsidRPr="008C0FB5">
        <w:rPr>
          <w:rFonts w:hint="cs"/>
          <w:rtl/>
        </w:rPr>
        <w:t>الجعبي</w:t>
      </w:r>
      <w:proofErr w:type="spellEnd"/>
      <w:r w:rsidRPr="008C0FB5">
        <w:rPr>
          <w:rFonts w:hint="cs"/>
          <w:rtl/>
        </w:rPr>
        <w:t>)، الروضة البهية في شرح اللمعة الدمشقية، ج1، منشورات جامعة النجف الدينية، النجف، بدون سنة طبع.</w:t>
      </w:r>
    </w:p>
    <w:p w14:paraId="65348540"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العاملي (محمد الجواد محمد </w:t>
      </w:r>
      <w:proofErr w:type="gramStart"/>
      <w:r w:rsidRPr="008C0FB5">
        <w:rPr>
          <w:rFonts w:hint="cs"/>
          <w:rtl/>
        </w:rPr>
        <w:t>الحسيني )</w:t>
      </w:r>
      <w:proofErr w:type="gramEnd"/>
      <w:r w:rsidRPr="008C0FB5">
        <w:rPr>
          <w:rFonts w:hint="cs"/>
          <w:rtl/>
        </w:rPr>
        <w:t>، مفتاح الكرامة شرح قواعد العلامة، ج4، مطبعة رنكين، طهران، 1387ه.</w:t>
      </w:r>
    </w:p>
    <w:p w14:paraId="2AE8D665"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العاملي (محمد الجواد محمد الحسيني)، مفتاح الكرامة شرح قواعد العلامة، كتاب المتاجر، مطبعة </w:t>
      </w:r>
      <w:proofErr w:type="gramStart"/>
      <w:r w:rsidRPr="008C0FB5">
        <w:rPr>
          <w:rFonts w:hint="cs"/>
          <w:rtl/>
        </w:rPr>
        <w:t>الشوري</w:t>
      </w:r>
      <w:proofErr w:type="gramEnd"/>
      <w:r w:rsidRPr="008C0FB5">
        <w:rPr>
          <w:rFonts w:hint="cs"/>
          <w:rtl/>
        </w:rPr>
        <w:t>، مصر، بدون سنة طبع.</w:t>
      </w:r>
    </w:p>
    <w:p w14:paraId="4175BAFB"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الغزالي (حامد محمد بن محمد)، إحياء علوم الدين، ج4، ط3، دار العلم للملايين، بدون سنة طبع. </w:t>
      </w:r>
    </w:p>
    <w:p w14:paraId="5C93044D"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الغزالي (حامد محمد بن محمد)، </w:t>
      </w:r>
      <w:proofErr w:type="spellStart"/>
      <w:r w:rsidRPr="008C0FB5">
        <w:rPr>
          <w:rFonts w:hint="cs"/>
          <w:rtl/>
        </w:rPr>
        <w:t>المستصفي</w:t>
      </w:r>
      <w:proofErr w:type="spellEnd"/>
      <w:r w:rsidRPr="008C0FB5">
        <w:rPr>
          <w:rFonts w:hint="cs"/>
          <w:rtl/>
        </w:rPr>
        <w:t xml:space="preserve"> في علم الأصول، ط1، المطبعة التجارية، بولاق، دون سنة طبع. </w:t>
      </w:r>
    </w:p>
    <w:p w14:paraId="0F18E501"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 xml:space="preserve">الغزالي (حامد محمد بن محمد)، </w:t>
      </w:r>
      <w:proofErr w:type="spellStart"/>
      <w:r w:rsidRPr="008C0FB5">
        <w:rPr>
          <w:rFonts w:hint="cs"/>
          <w:rtl/>
        </w:rPr>
        <w:t>المستصفي</w:t>
      </w:r>
      <w:proofErr w:type="spellEnd"/>
      <w:r w:rsidRPr="008C0FB5">
        <w:rPr>
          <w:rFonts w:hint="cs"/>
          <w:rtl/>
        </w:rPr>
        <w:t xml:space="preserve"> ومعه مسلم الثبوت، ج1، المطبعة الأميرية، القاهرة، 1342ه.</w:t>
      </w:r>
    </w:p>
    <w:p w14:paraId="49160179"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قاضي خان، الفتاوى الخانية، مطبوعة على هامش الفتاوى الهندية، مج2، بدون مكان وسنة طبع.</w:t>
      </w:r>
    </w:p>
    <w:p w14:paraId="6C435BF1"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القرافي (شهاب الدين أبو العباس)، الفروق، ج2، مطبعة دار إحياء الكتب العربية، القاهرة، 1347ه.</w:t>
      </w:r>
    </w:p>
    <w:p w14:paraId="6F2B1659" w14:textId="77777777" w:rsidR="0094067A" w:rsidRPr="008C0FB5" w:rsidRDefault="0094067A" w:rsidP="007A1F34">
      <w:pPr>
        <w:pStyle w:val="48"/>
        <w:numPr>
          <w:ilvl w:val="0"/>
          <w:numId w:val="36"/>
        </w:numPr>
        <w:ind w:left="426" w:hangingChars="142" w:hanging="426"/>
        <w:rPr>
          <w:rFonts w:hint="cs"/>
          <w:rtl/>
        </w:rPr>
      </w:pPr>
      <w:proofErr w:type="spellStart"/>
      <w:r w:rsidRPr="008C0FB5">
        <w:rPr>
          <w:rFonts w:hint="cs"/>
          <w:rtl/>
        </w:rPr>
        <w:t>الكاساني</w:t>
      </w:r>
      <w:proofErr w:type="spellEnd"/>
      <w:r w:rsidRPr="008C0FB5">
        <w:rPr>
          <w:rFonts w:hint="cs"/>
          <w:rtl/>
        </w:rPr>
        <w:t xml:space="preserve"> (علاء الدين)، بدائع الصنائع في ترتيب الشرائع، ج4، مطبعة شركة المطبوعات، القاهرة، 1328ه.</w:t>
      </w:r>
    </w:p>
    <w:p w14:paraId="63054074" w14:textId="77777777" w:rsidR="0094067A" w:rsidRPr="008C0FB5" w:rsidRDefault="0094067A" w:rsidP="007A1F34">
      <w:pPr>
        <w:pStyle w:val="48"/>
        <w:numPr>
          <w:ilvl w:val="0"/>
          <w:numId w:val="36"/>
        </w:numPr>
        <w:ind w:left="426" w:hangingChars="142" w:hanging="426"/>
        <w:rPr>
          <w:rFonts w:hint="cs"/>
          <w:rtl/>
        </w:rPr>
      </w:pPr>
      <w:proofErr w:type="spellStart"/>
      <w:r w:rsidRPr="008C0FB5">
        <w:rPr>
          <w:rFonts w:hint="cs"/>
          <w:rtl/>
        </w:rPr>
        <w:t>الكاساني</w:t>
      </w:r>
      <w:proofErr w:type="spellEnd"/>
      <w:r w:rsidRPr="008C0FB5">
        <w:rPr>
          <w:rFonts w:hint="cs"/>
          <w:rtl/>
        </w:rPr>
        <w:t xml:space="preserve"> (علاء الدين)، بدائع الصنائع في ترتيب الشرائع، ج5، ط2، دار الكتاب العربي، بيروت، 1982م.</w:t>
      </w:r>
    </w:p>
    <w:p w14:paraId="5B86802D" w14:textId="77777777" w:rsidR="0094067A" w:rsidRPr="008C0FB5" w:rsidRDefault="0094067A" w:rsidP="007A1F34">
      <w:pPr>
        <w:pStyle w:val="48"/>
        <w:numPr>
          <w:ilvl w:val="0"/>
          <w:numId w:val="36"/>
        </w:numPr>
        <w:ind w:left="426" w:hangingChars="142" w:hanging="426"/>
        <w:rPr>
          <w:rFonts w:hint="cs"/>
          <w:rtl/>
        </w:rPr>
      </w:pPr>
      <w:r w:rsidRPr="008C0FB5">
        <w:rPr>
          <w:rFonts w:hint="cs"/>
          <w:rtl/>
        </w:rPr>
        <w:t>الإمام مالك، المدونة الكبرى، ج11، رواية سحنون، القاهرة، 1323ه.</w:t>
      </w:r>
    </w:p>
    <w:p w14:paraId="51F0169D" w14:textId="77777777" w:rsidR="0094067A" w:rsidRPr="008C0FB5" w:rsidRDefault="0094067A" w:rsidP="007A1F34">
      <w:pPr>
        <w:pStyle w:val="48"/>
        <w:numPr>
          <w:ilvl w:val="1"/>
          <w:numId w:val="36"/>
        </w:numPr>
        <w:ind w:left="428" w:hangingChars="142" w:hanging="428"/>
        <w:rPr>
          <w:rFonts w:hint="cs"/>
          <w:b/>
          <w:bCs/>
          <w:rtl/>
        </w:rPr>
      </w:pPr>
      <w:r w:rsidRPr="008C0FB5">
        <w:rPr>
          <w:rFonts w:hint="cs"/>
          <w:b/>
          <w:bCs/>
          <w:rtl/>
        </w:rPr>
        <w:t>المراجع الفقهية الإسلامية الحديثة:</w:t>
      </w:r>
    </w:p>
    <w:p w14:paraId="02A05DD4" w14:textId="77777777" w:rsidR="0094067A" w:rsidRPr="008C0FB5" w:rsidRDefault="0094067A" w:rsidP="007A1F34">
      <w:pPr>
        <w:pStyle w:val="48"/>
        <w:numPr>
          <w:ilvl w:val="0"/>
          <w:numId w:val="37"/>
        </w:numPr>
        <w:rPr>
          <w:rFonts w:hint="cs"/>
          <w:rtl/>
        </w:rPr>
      </w:pPr>
      <w:r w:rsidRPr="008C0FB5">
        <w:rPr>
          <w:rFonts w:hint="cs"/>
          <w:rtl/>
        </w:rPr>
        <w:t>بدران أبو العينين، المواريث والوصية والهبة في الشريعة الإسلامية والقانون، الناشر مؤسسة شباب الجامعة للطباعة والنشر والتوزيع، الإسكندرية، بدون سنة طبع.</w:t>
      </w:r>
    </w:p>
    <w:p w14:paraId="5D3C4ADB"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حسن علي </w:t>
      </w:r>
      <w:proofErr w:type="spellStart"/>
      <w:r w:rsidRPr="008C0FB5">
        <w:rPr>
          <w:rFonts w:hint="cs"/>
          <w:rtl/>
        </w:rPr>
        <w:t>الذنون</w:t>
      </w:r>
      <w:proofErr w:type="spellEnd"/>
      <w:r w:rsidRPr="008C0FB5">
        <w:rPr>
          <w:rFonts w:hint="cs"/>
          <w:rtl/>
        </w:rPr>
        <w:t>، النظرية العامة للفسخ في الفقه الإسلامي، مطبعة نهضة مصر، 1946م.</w:t>
      </w:r>
    </w:p>
    <w:p w14:paraId="6D10A048"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حليمة </w:t>
      </w:r>
      <w:proofErr w:type="spellStart"/>
      <w:r w:rsidRPr="008C0FB5">
        <w:rPr>
          <w:rFonts w:hint="cs"/>
          <w:rtl/>
        </w:rPr>
        <w:t>آيت</w:t>
      </w:r>
      <w:proofErr w:type="spellEnd"/>
      <w:r w:rsidRPr="008C0FB5">
        <w:rPr>
          <w:rFonts w:hint="cs"/>
          <w:rtl/>
        </w:rPr>
        <w:t xml:space="preserve"> حمودي، نظرية الباعث في الشريعة الإسلامية والقانون الوضعي، مطبعة </w:t>
      </w:r>
      <w:r w:rsidRPr="008C0FB5">
        <w:rPr>
          <w:rFonts w:hint="cs"/>
          <w:rtl/>
        </w:rPr>
        <w:lastRenderedPageBreak/>
        <w:t>دار الحداثة للطباعة والنشر والتوزيع، بيروت، 1986م.</w:t>
      </w:r>
    </w:p>
    <w:p w14:paraId="31E1CA24"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السيستاني (السيد علي الحسيني)، الفتاوى الميسرة، مطبعة دار المؤرخ العربي، بيروت، دون سنة طبع، تقديم: السيد عبد الهادي محمد تقي الحكيم.</w:t>
      </w:r>
    </w:p>
    <w:p w14:paraId="3E1494C7"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شفيق شحاتة، النظرية العامة للالتزامات في الشريعة الإسلامية، مطبعة الاعتماد، القاهرة، 1936م.</w:t>
      </w:r>
    </w:p>
    <w:p w14:paraId="369C7DFF"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صبحي </w:t>
      </w:r>
      <w:proofErr w:type="spellStart"/>
      <w:r w:rsidRPr="008C0FB5">
        <w:rPr>
          <w:rFonts w:hint="cs"/>
          <w:rtl/>
        </w:rPr>
        <w:t>المحمصاني</w:t>
      </w:r>
      <w:proofErr w:type="spellEnd"/>
      <w:r w:rsidRPr="008C0FB5">
        <w:rPr>
          <w:rFonts w:hint="cs"/>
          <w:rtl/>
        </w:rPr>
        <w:t>، النظرية العامة للموجبات والعقود في الشريعة الإسلامية، ط2، دار العلم للملايين، بيروت، 1975م.</w:t>
      </w:r>
    </w:p>
    <w:p w14:paraId="2C9A621A"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صبحي </w:t>
      </w:r>
      <w:proofErr w:type="spellStart"/>
      <w:r w:rsidRPr="008C0FB5">
        <w:rPr>
          <w:rFonts w:hint="cs"/>
          <w:rtl/>
        </w:rPr>
        <w:t>المحمصاني</w:t>
      </w:r>
      <w:proofErr w:type="spellEnd"/>
      <w:r w:rsidRPr="008C0FB5">
        <w:rPr>
          <w:rFonts w:hint="cs"/>
          <w:rtl/>
        </w:rPr>
        <w:t>، فلسفة التشريع في الإسلام، ط3، مطبعة الكشاف، بيروت، 1952م.</w:t>
      </w:r>
    </w:p>
    <w:p w14:paraId="39B23758"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الصدر (السيد محمد </w:t>
      </w:r>
      <w:proofErr w:type="spellStart"/>
      <w:r w:rsidRPr="008C0FB5">
        <w:rPr>
          <w:rFonts w:hint="cs"/>
          <w:rtl/>
        </w:rPr>
        <w:t>محمد</w:t>
      </w:r>
      <w:proofErr w:type="spellEnd"/>
      <w:r w:rsidRPr="008C0FB5">
        <w:rPr>
          <w:rFonts w:hint="cs"/>
          <w:rtl/>
        </w:rPr>
        <w:t xml:space="preserve"> صادق)، ما وراء الفقه، ج1، القسم الأول، مطبعة الآداب، النجف الاشرف، 1993م.</w:t>
      </w:r>
    </w:p>
    <w:p w14:paraId="0501F1C8"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صلاح الدين الناهي، الامتناع المشروع عن الوفاء، مطبعة العلوم، القاهرة، 1945م.</w:t>
      </w:r>
    </w:p>
    <w:p w14:paraId="36A52BB9"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عبد الحميد أبو المكارم إسماعيل، الأدلة المختلف فيها وأثرها في الفقه الإسلامي، دار ماجد للطباعة، القاهرة.</w:t>
      </w:r>
    </w:p>
    <w:p w14:paraId="798B162B"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عبد السلام محمد الشريف العالم، علم مقاصد الشريعة، جامعة قار يونس، بنغازي 63.</w:t>
      </w:r>
    </w:p>
    <w:p w14:paraId="67DE7823"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عمر </w:t>
      </w:r>
      <w:proofErr w:type="spellStart"/>
      <w:r w:rsidRPr="008C0FB5">
        <w:rPr>
          <w:rFonts w:hint="cs"/>
          <w:rtl/>
        </w:rPr>
        <w:t>الجيدي</w:t>
      </w:r>
      <w:proofErr w:type="spellEnd"/>
      <w:r w:rsidRPr="008C0FB5">
        <w:rPr>
          <w:rFonts w:hint="cs"/>
          <w:rtl/>
        </w:rPr>
        <w:t>، التشريع الإسلامي، أصوله ومقاصده، ط1، المغرب، 1986م.</w:t>
      </w:r>
    </w:p>
    <w:p w14:paraId="5CB3D51E"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عز الدين بحر العلوم، بحوث فقهية، التأمين، ط4، مطبعة الديواني، بغداد، 1990م.</w:t>
      </w:r>
    </w:p>
    <w:p w14:paraId="7A03CA25" w14:textId="77777777" w:rsidR="0094067A" w:rsidRPr="008C0FB5" w:rsidRDefault="0094067A" w:rsidP="007A1F34">
      <w:pPr>
        <w:pStyle w:val="48"/>
        <w:numPr>
          <w:ilvl w:val="0"/>
          <w:numId w:val="37"/>
        </w:numPr>
        <w:tabs>
          <w:tab w:val="right" w:pos="849"/>
        </w:tabs>
        <w:ind w:left="867" w:hanging="510"/>
        <w:rPr>
          <w:rFonts w:hint="cs"/>
          <w:rtl/>
        </w:rPr>
      </w:pPr>
      <w:proofErr w:type="spellStart"/>
      <w:r w:rsidRPr="008C0FB5">
        <w:rPr>
          <w:rFonts w:hint="cs"/>
          <w:rtl/>
        </w:rPr>
        <w:t>الكاندهولي</w:t>
      </w:r>
      <w:proofErr w:type="spellEnd"/>
      <w:r w:rsidRPr="008C0FB5">
        <w:rPr>
          <w:rFonts w:hint="cs"/>
          <w:rtl/>
        </w:rPr>
        <w:t xml:space="preserve"> (محمد زكريا)، أوجز المسالك إلى الموطأ، طبع دار الفكر، بيروت، 1989م.</w:t>
      </w:r>
    </w:p>
    <w:p w14:paraId="7E6EDD02"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أبو زهرة، الملكية ونظرية العقد في الشريعة الإسلامية، ط1، مطبعة نوري، القاهرة، 1939م.</w:t>
      </w:r>
    </w:p>
    <w:p w14:paraId="7E218165"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أبو زهرة، الملكية ونظرية العقد في الشريعة الإسلامية، طبع دار الفكر، 1977م.</w:t>
      </w:r>
    </w:p>
    <w:p w14:paraId="666E00A4"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أبو زهرة، مالك، ط1، مطبعة الاعتماد، القاهرة، 1946م.</w:t>
      </w:r>
    </w:p>
    <w:p w14:paraId="251B84A6"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تقي الحكيم، الأصول العامة للفقه المقارن، دار الأندلس للطباعة والنشر، بيروت، 1963م.</w:t>
      </w:r>
    </w:p>
    <w:p w14:paraId="2BBC8B74"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زكي عبد البر، نظرية تحمل التبعة في الفقه الإسلامي، القاهرة، 1950م.</w:t>
      </w:r>
    </w:p>
    <w:p w14:paraId="7B3EAEFD"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محمد سعيد </w:t>
      </w:r>
      <w:proofErr w:type="spellStart"/>
      <w:r w:rsidRPr="008C0FB5">
        <w:rPr>
          <w:rFonts w:hint="cs"/>
          <w:rtl/>
        </w:rPr>
        <w:t>الطباطبائي</w:t>
      </w:r>
      <w:proofErr w:type="spellEnd"/>
      <w:r w:rsidRPr="008C0FB5">
        <w:rPr>
          <w:rFonts w:hint="cs"/>
          <w:rtl/>
        </w:rPr>
        <w:t xml:space="preserve"> الحكيم، الكافي في أصول الفقه، ج1، ط1، مطبعة السيد محمد سعيد الحكيم للنشر والتوزيع، 1991م.</w:t>
      </w:r>
    </w:p>
    <w:p w14:paraId="2ECC158D"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سعيد العزي، شرح الأدلة الأصلية على مجلة الأحكام العدلية، ج1، دمشق، 1924م.</w:t>
      </w:r>
    </w:p>
    <w:p w14:paraId="66637C97"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شوكت حسنين العدوي، نظرية العقد في الشريعة الإسلامية، مطبعة دار النهضة العربية، بدون مكان وسنة طبع.</w:t>
      </w:r>
    </w:p>
    <w:p w14:paraId="11AF99CE"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قدري باشا، مرشد الحيران، ط3، القاهرة، 1909م.</w:t>
      </w:r>
    </w:p>
    <w:p w14:paraId="18AC2B5C"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هاشم البرهاني، سد الذرائع في الشريعة الإسلامية، ط1، مطبعة الريحاني، بيروت، 1985م.</w:t>
      </w:r>
    </w:p>
    <w:p w14:paraId="200832C1"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lastRenderedPageBreak/>
        <w:t>حسين حامد، مقاصد الشريعة وطرق الاجتهاد التي ترجع إليها، طبعة خاصة، دار المعرفة، بدون مكان وسنة طبع.</w:t>
      </w:r>
    </w:p>
    <w:p w14:paraId="758FD0C7"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محمد يوسف موسى، الفقه الإسلامي، مدخل لدراسة نظام المعاملات فيه، ط3، مطبعة دار الكتاب العربي، مصر، 1958م.</w:t>
      </w:r>
    </w:p>
    <w:p w14:paraId="29496B1D"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محمود عبد المجيد المغربي، أحكام العقد في الشريعة الإسلامية، ط1، المكتبة الحديثة للطباعة، بدون مكان طبع، 1988م.</w:t>
      </w:r>
    </w:p>
    <w:p w14:paraId="009F0517"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مصطفى إبراهيم </w:t>
      </w:r>
      <w:proofErr w:type="spellStart"/>
      <w:r w:rsidRPr="008C0FB5">
        <w:rPr>
          <w:rFonts w:hint="cs"/>
          <w:rtl/>
        </w:rPr>
        <w:t>الزلمي</w:t>
      </w:r>
      <w:proofErr w:type="spellEnd"/>
      <w:r w:rsidRPr="008C0FB5">
        <w:rPr>
          <w:rFonts w:hint="cs"/>
          <w:rtl/>
        </w:rPr>
        <w:t>، أصول الفقه الإسلامي في نسيجه الجديد، ط9، شركة الخنساء للطباعة والنشر، بغداد، 2002م.</w:t>
      </w:r>
    </w:p>
    <w:p w14:paraId="6F92F6C1"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مصطفى إبراهيم </w:t>
      </w:r>
      <w:proofErr w:type="spellStart"/>
      <w:r w:rsidRPr="008C0FB5">
        <w:rPr>
          <w:rFonts w:hint="cs"/>
          <w:rtl/>
        </w:rPr>
        <w:t>الزلمي</w:t>
      </w:r>
      <w:proofErr w:type="spellEnd"/>
      <w:r w:rsidRPr="008C0FB5">
        <w:rPr>
          <w:rFonts w:hint="cs"/>
          <w:rtl/>
        </w:rPr>
        <w:t>، الالتزامات في الشريعة الإسلامية والتشريعات المدنية العربية، ج1، مطبعة شركة السعدون للطباعة والنشر والتوزيع المحدودة، بغداد، بدون سنة طبع.</w:t>
      </w:r>
    </w:p>
    <w:p w14:paraId="74113B2E"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مصطفى إبراهيم </w:t>
      </w:r>
      <w:proofErr w:type="spellStart"/>
      <w:r w:rsidRPr="008C0FB5">
        <w:rPr>
          <w:rFonts w:hint="cs"/>
          <w:rtl/>
        </w:rPr>
        <w:t>الزلمي</w:t>
      </w:r>
      <w:proofErr w:type="spellEnd"/>
      <w:r w:rsidRPr="008C0FB5">
        <w:rPr>
          <w:rFonts w:hint="cs"/>
          <w:rtl/>
        </w:rPr>
        <w:t xml:space="preserve"> وعبد الباقي البكري، المدخل لدراسة الشريعة الإسلامية، بغداد، 1989م.</w:t>
      </w:r>
    </w:p>
    <w:p w14:paraId="54183CD6"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مصطفى الزرقا، المدخل الفقهي العام، ج1، مطبعة الجامعة السورية، دمشق، 1952م.</w:t>
      </w:r>
    </w:p>
    <w:p w14:paraId="40E2B196"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مصطفى الزرقا، المدخل الفقهي العام، ج1، مطبعة الحياة، دمشق، 1964م.</w:t>
      </w:r>
    </w:p>
    <w:p w14:paraId="53C3AB25"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وحيد الدين سوار، التعبير عن الإرادة في الفقه الإسلامي، ط1، مكتبة النهضة المصرية، القاهرة، 1960م.</w:t>
      </w:r>
    </w:p>
    <w:p w14:paraId="14899A9D" w14:textId="77777777" w:rsidR="0094067A" w:rsidRPr="008C0FB5" w:rsidRDefault="0094067A" w:rsidP="007A1F34">
      <w:pPr>
        <w:pStyle w:val="48"/>
        <w:numPr>
          <w:ilvl w:val="0"/>
          <w:numId w:val="37"/>
        </w:numPr>
        <w:tabs>
          <w:tab w:val="right" w:pos="849"/>
        </w:tabs>
        <w:ind w:left="867" w:hanging="510"/>
        <w:rPr>
          <w:rFonts w:hint="cs"/>
          <w:rtl/>
        </w:rPr>
      </w:pPr>
      <w:r w:rsidRPr="008C0FB5">
        <w:rPr>
          <w:rFonts w:hint="cs"/>
          <w:rtl/>
        </w:rPr>
        <w:t xml:space="preserve">وهبة </w:t>
      </w:r>
      <w:proofErr w:type="spellStart"/>
      <w:r w:rsidRPr="008C0FB5">
        <w:rPr>
          <w:rFonts w:hint="cs"/>
          <w:rtl/>
        </w:rPr>
        <w:t>الزحيلي</w:t>
      </w:r>
      <w:proofErr w:type="spellEnd"/>
      <w:r w:rsidRPr="008C0FB5">
        <w:rPr>
          <w:rFonts w:hint="cs"/>
          <w:rtl/>
        </w:rPr>
        <w:t>، الفقه الإسلامي وأدلته، ج4، ط4، مطبعة دار الفكر، دمشق، مطبعة دار الفكر العربي، بيروت، 1997م.</w:t>
      </w:r>
    </w:p>
    <w:p w14:paraId="7DFD2949" w14:textId="77777777" w:rsidR="0094067A" w:rsidRPr="008C0FB5" w:rsidRDefault="0094067A" w:rsidP="00C35031">
      <w:pPr>
        <w:pStyle w:val="48"/>
        <w:rPr>
          <w:rFonts w:hint="cs"/>
          <w:b/>
          <w:bCs/>
          <w:rtl/>
        </w:rPr>
      </w:pPr>
      <w:r w:rsidRPr="008C0FB5">
        <w:rPr>
          <w:rFonts w:hint="cs"/>
          <w:b/>
          <w:bCs/>
          <w:rtl/>
        </w:rPr>
        <w:t>- المراجع الفقهية القانونية:</w:t>
      </w:r>
    </w:p>
    <w:p w14:paraId="7425D4D2" w14:textId="77777777" w:rsidR="0094067A" w:rsidRPr="008C0FB5" w:rsidRDefault="0094067A" w:rsidP="007A1F34">
      <w:pPr>
        <w:pStyle w:val="48"/>
        <w:numPr>
          <w:ilvl w:val="0"/>
          <w:numId w:val="38"/>
        </w:numPr>
        <w:tabs>
          <w:tab w:val="right" w:pos="849"/>
        </w:tabs>
        <w:rPr>
          <w:rFonts w:hint="cs"/>
          <w:rtl/>
        </w:rPr>
      </w:pPr>
      <w:r w:rsidRPr="008C0FB5">
        <w:rPr>
          <w:rFonts w:hint="cs"/>
          <w:rtl/>
        </w:rPr>
        <w:t>إسماعيل غانم، النظرية العامة للالتزامات، ج1، مصادر الالتزام، الناشر مكتبة عبد الله وهبة، مصر، 1966م.</w:t>
      </w:r>
    </w:p>
    <w:p w14:paraId="6A626D81" w14:textId="77777777" w:rsidR="0094067A" w:rsidRPr="008C0FB5" w:rsidRDefault="0094067A" w:rsidP="007A1F34">
      <w:pPr>
        <w:pStyle w:val="48"/>
        <w:numPr>
          <w:ilvl w:val="0"/>
          <w:numId w:val="38"/>
        </w:numPr>
        <w:tabs>
          <w:tab w:val="right" w:pos="849"/>
        </w:tabs>
        <w:rPr>
          <w:rFonts w:hint="cs"/>
          <w:rtl/>
        </w:rPr>
      </w:pPr>
      <w:r w:rsidRPr="008C0FB5">
        <w:rPr>
          <w:rFonts w:hint="cs"/>
          <w:rtl/>
        </w:rPr>
        <w:t>أنور سلطان، الموجز في نظرية الالتزام، ج1، مطبعة دار المعارف، القاهرة، 1962م.</w:t>
      </w:r>
    </w:p>
    <w:p w14:paraId="5D0FD962" w14:textId="77777777" w:rsidR="0094067A" w:rsidRPr="008C0FB5" w:rsidRDefault="0094067A" w:rsidP="007A1F34">
      <w:pPr>
        <w:pStyle w:val="48"/>
        <w:numPr>
          <w:ilvl w:val="0"/>
          <w:numId w:val="38"/>
        </w:numPr>
        <w:tabs>
          <w:tab w:val="right" w:pos="849"/>
        </w:tabs>
        <w:rPr>
          <w:rFonts w:hint="cs"/>
          <w:rtl/>
        </w:rPr>
      </w:pPr>
      <w:r w:rsidRPr="008C0FB5">
        <w:rPr>
          <w:rFonts w:hint="cs"/>
          <w:rtl/>
        </w:rPr>
        <w:t>أنور سلطان، النظرية العامة للالتزام، ط2، ج2، أحكام الالتزام، دار المطبوعات الجامعية، الإسكندرية، 1997م.</w:t>
      </w:r>
    </w:p>
    <w:p w14:paraId="4413778B" w14:textId="77777777" w:rsidR="0094067A" w:rsidRPr="008C0FB5" w:rsidRDefault="0094067A" w:rsidP="007A1F34">
      <w:pPr>
        <w:pStyle w:val="48"/>
        <w:numPr>
          <w:ilvl w:val="0"/>
          <w:numId w:val="38"/>
        </w:numPr>
        <w:tabs>
          <w:tab w:val="right" w:pos="849"/>
        </w:tabs>
        <w:rPr>
          <w:rFonts w:hint="cs"/>
          <w:rtl/>
        </w:rPr>
      </w:pPr>
      <w:r w:rsidRPr="008C0FB5">
        <w:rPr>
          <w:rFonts w:hint="cs"/>
          <w:rtl/>
        </w:rPr>
        <w:t>أنور سلطان، مصادر الالتزام، القاهرة، 1970م.</w:t>
      </w:r>
    </w:p>
    <w:p w14:paraId="39DDDB66" w14:textId="77777777" w:rsidR="0094067A" w:rsidRPr="008C0FB5" w:rsidRDefault="0094067A" w:rsidP="007A1F34">
      <w:pPr>
        <w:pStyle w:val="48"/>
        <w:numPr>
          <w:ilvl w:val="0"/>
          <w:numId w:val="38"/>
        </w:numPr>
        <w:tabs>
          <w:tab w:val="right" w:pos="849"/>
        </w:tabs>
        <w:rPr>
          <w:rFonts w:hint="cs"/>
          <w:rtl/>
        </w:rPr>
      </w:pPr>
      <w:r w:rsidRPr="008C0FB5">
        <w:rPr>
          <w:rFonts w:hint="cs"/>
          <w:rtl/>
        </w:rPr>
        <w:t>أنور سلطان، مصادر الالتزام في القانون المدني الأردني، ط1، عمان، 1987م.</w:t>
      </w:r>
    </w:p>
    <w:p w14:paraId="0F36B1F9" w14:textId="77777777" w:rsidR="0094067A" w:rsidRPr="008C0FB5" w:rsidRDefault="0094067A" w:rsidP="007A1F34">
      <w:pPr>
        <w:pStyle w:val="48"/>
        <w:numPr>
          <w:ilvl w:val="0"/>
          <w:numId w:val="38"/>
        </w:numPr>
        <w:tabs>
          <w:tab w:val="right" w:pos="849"/>
        </w:tabs>
        <w:rPr>
          <w:rFonts w:hint="cs"/>
          <w:rtl/>
        </w:rPr>
      </w:pPr>
      <w:r w:rsidRPr="008C0FB5">
        <w:rPr>
          <w:rFonts w:hint="cs"/>
          <w:rtl/>
        </w:rPr>
        <w:t>أنور طلبة، الوسيط في القانون المدني، ج1، بدون مكان وسنة طبع.</w:t>
      </w:r>
    </w:p>
    <w:p w14:paraId="40564FBC" w14:textId="77777777" w:rsidR="0094067A" w:rsidRPr="008C0FB5" w:rsidRDefault="0094067A" w:rsidP="007A1F34">
      <w:pPr>
        <w:pStyle w:val="48"/>
        <w:numPr>
          <w:ilvl w:val="0"/>
          <w:numId w:val="38"/>
        </w:numPr>
        <w:tabs>
          <w:tab w:val="right" w:pos="849"/>
        </w:tabs>
        <w:rPr>
          <w:rFonts w:hint="cs"/>
          <w:rtl/>
        </w:rPr>
      </w:pPr>
      <w:r w:rsidRPr="008C0FB5">
        <w:rPr>
          <w:rFonts w:hint="cs"/>
          <w:rtl/>
        </w:rPr>
        <w:t>أحمد حشمت أبو ستيت، نظرية الالتزام في القانون المدني، الكتاب الأول، ج1، مصادر الالتزام، القاهرة، 1954م.</w:t>
      </w:r>
    </w:p>
    <w:p w14:paraId="4A3DB491" w14:textId="77777777" w:rsidR="0094067A" w:rsidRPr="008C0FB5" w:rsidRDefault="0094067A" w:rsidP="007A1F34">
      <w:pPr>
        <w:pStyle w:val="48"/>
        <w:numPr>
          <w:ilvl w:val="0"/>
          <w:numId w:val="38"/>
        </w:numPr>
        <w:tabs>
          <w:tab w:val="right" w:pos="849"/>
        </w:tabs>
        <w:rPr>
          <w:rFonts w:hint="cs"/>
          <w:rtl/>
        </w:rPr>
      </w:pPr>
      <w:r w:rsidRPr="008C0FB5">
        <w:rPr>
          <w:rFonts w:hint="cs"/>
          <w:rtl/>
        </w:rPr>
        <w:t>أحمد شرف الدين، أحكام التأمين في القانون والقضاء، مطبعة حسان، القاهرة، 1987م.</w:t>
      </w:r>
    </w:p>
    <w:p w14:paraId="3C44ED47" w14:textId="77777777" w:rsidR="0094067A" w:rsidRPr="008C0FB5" w:rsidRDefault="0094067A" w:rsidP="007A1F34">
      <w:pPr>
        <w:pStyle w:val="48"/>
        <w:numPr>
          <w:ilvl w:val="0"/>
          <w:numId w:val="38"/>
        </w:numPr>
        <w:tabs>
          <w:tab w:val="right" w:pos="849"/>
        </w:tabs>
        <w:rPr>
          <w:rFonts w:hint="cs"/>
          <w:rtl/>
        </w:rPr>
      </w:pPr>
      <w:r w:rsidRPr="008C0FB5">
        <w:rPr>
          <w:rFonts w:hint="cs"/>
          <w:rtl/>
        </w:rPr>
        <w:t>توفيق حسن فرج ومحمد يحيى مطر، الأصول العامة للقانون، الكتاب الأول، الدار الجامعية للطباعة والنشر، بدون مكان وسنة طبع.</w:t>
      </w:r>
    </w:p>
    <w:p w14:paraId="3B4F8506"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ج. س. </w:t>
      </w:r>
      <w:proofErr w:type="spellStart"/>
      <w:r w:rsidRPr="008C0FB5">
        <w:rPr>
          <w:rFonts w:hint="cs"/>
          <w:rtl/>
        </w:rPr>
        <w:t>شيشر</w:t>
      </w:r>
      <w:proofErr w:type="spellEnd"/>
      <w:r w:rsidRPr="008C0FB5">
        <w:rPr>
          <w:rFonts w:hint="cs"/>
          <w:rtl/>
        </w:rPr>
        <w:t xml:space="preserve">، س. ه. فيفوت، م. ب. </w:t>
      </w:r>
      <w:proofErr w:type="spellStart"/>
      <w:r w:rsidRPr="008C0FB5">
        <w:rPr>
          <w:rFonts w:hint="cs"/>
          <w:rtl/>
        </w:rPr>
        <w:t>فيرمستون</w:t>
      </w:r>
      <w:proofErr w:type="spellEnd"/>
      <w:r w:rsidRPr="008C0FB5">
        <w:rPr>
          <w:rFonts w:hint="cs"/>
          <w:rtl/>
        </w:rPr>
        <w:t>، السبب ونية التعاقد، ترجمة: الدكتور هنري رياض، دار الجيل للطباعة، بيروت.</w:t>
      </w:r>
    </w:p>
    <w:p w14:paraId="74AF14E9" w14:textId="77777777" w:rsidR="0094067A" w:rsidRPr="008C0FB5" w:rsidRDefault="0094067A" w:rsidP="007A1F34">
      <w:pPr>
        <w:pStyle w:val="48"/>
        <w:numPr>
          <w:ilvl w:val="0"/>
          <w:numId w:val="38"/>
        </w:numPr>
        <w:tabs>
          <w:tab w:val="right" w:pos="849"/>
        </w:tabs>
        <w:rPr>
          <w:rFonts w:hint="cs"/>
          <w:rtl/>
        </w:rPr>
      </w:pPr>
      <w:r w:rsidRPr="008C0FB5">
        <w:rPr>
          <w:rFonts w:hint="cs"/>
          <w:rtl/>
        </w:rPr>
        <w:lastRenderedPageBreak/>
        <w:t>جلال علي العدوي، أصول الالتزامات، الإسكندرية، 1997م.</w:t>
      </w:r>
    </w:p>
    <w:p w14:paraId="7BC237C3" w14:textId="77777777" w:rsidR="0094067A" w:rsidRPr="008C0FB5" w:rsidRDefault="0094067A" w:rsidP="007A1F34">
      <w:pPr>
        <w:pStyle w:val="48"/>
        <w:numPr>
          <w:ilvl w:val="0"/>
          <w:numId w:val="38"/>
        </w:numPr>
        <w:tabs>
          <w:tab w:val="right" w:pos="849"/>
        </w:tabs>
        <w:rPr>
          <w:rFonts w:hint="cs"/>
          <w:rtl/>
        </w:rPr>
      </w:pPr>
      <w:r w:rsidRPr="008C0FB5">
        <w:rPr>
          <w:rFonts w:hint="cs"/>
          <w:rtl/>
        </w:rPr>
        <w:t>جلال علي العدوي، مبادئ الالتزامات، ج1، مصادر الالتزام، بدون مكان وسنة طبع.</w:t>
      </w:r>
    </w:p>
    <w:p w14:paraId="64E21D43"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حسن </w:t>
      </w:r>
      <w:proofErr w:type="spellStart"/>
      <w:r w:rsidRPr="008C0FB5">
        <w:rPr>
          <w:rFonts w:hint="cs"/>
          <w:rtl/>
        </w:rPr>
        <w:t>ذنون</w:t>
      </w:r>
      <w:proofErr w:type="spellEnd"/>
      <w:r w:rsidRPr="008C0FB5">
        <w:rPr>
          <w:rFonts w:hint="cs"/>
          <w:rtl/>
        </w:rPr>
        <w:t>، الاشتراط لمصلحة الغير، من منشورات رابطة خريجي الجامعات والمعاهد المصرية، شركة الرابطة للطباعة والنشر المحدودة، بغداد، 1954م.</w:t>
      </w:r>
    </w:p>
    <w:p w14:paraId="5189830F"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حسن </w:t>
      </w:r>
      <w:proofErr w:type="spellStart"/>
      <w:r w:rsidRPr="008C0FB5">
        <w:rPr>
          <w:rFonts w:hint="cs"/>
          <w:rtl/>
        </w:rPr>
        <w:t>ذنون</w:t>
      </w:r>
      <w:proofErr w:type="spellEnd"/>
      <w:r w:rsidRPr="008C0FB5">
        <w:rPr>
          <w:rFonts w:hint="cs"/>
          <w:rtl/>
        </w:rPr>
        <w:t>، المبسوط في المسؤولية المدنية، ج2، الخطأ، المكتبة الوطنية، بغداد، 2001م.</w:t>
      </w:r>
    </w:p>
    <w:p w14:paraId="2375A99F"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حسن </w:t>
      </w:r>
      <w:proofErr w:type="spellStart"/>
      <w:r w:rsidRPr="008C0FB5">
        <w:rPr>
          <w:rFonts w:hint="cs"/>
          <w:rtl/>
        </w:rPr>
        <w:t>ذنون</w:t>
      </w:r>
      <w:proofErr w:type="spellEnd"/>
      <w:r w:rsidRPr="008C0FB5">
        <w:rPr>
          <w:rFonts w:hint="cs"/>
          <w:rtl/>
        </w:rPr>
        <w:t>، النظرية العامة للالتزامات، المستنصرية، بغداد، 1976م.</w:t>
      </w:r>
    </w:p>
    <w:p w14:paraId="73F90410"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حسن </w:t>
      </w:r>
      <w:proofErr w:type="spellStart"/>
      <w:r w:rsidRPr="008C0FB5">
        <w:rPr>
          <w:rFonts w:hint="cs"/>
          <w:rtl/>
        </w:rPr>
        <w:t>ذنون</w:t>
      </w:r>
      <w:proofErr w:type="spellEnd"/>
      <w:r w:rsidRPr="008C0FB5">
        <w:rPr>
          <w:rFonts w:hint="cs"/>
          <w:rtl/>
        </w:rPr>
        <w:t>، محاضرات في القانون المدني، نظرية العقد، القاهرة، 1956م.</w:t>
      </w:r>
    </w:p>
    <w:p w14:paraId="331DC8B5" w14:textId="77777777" w:rsidR="0094067A" w:rsidRPr="008C0FB5" w:rsidRDefault="0094067A" w:rsidP="007A1F34">
      <w:pPr>
        <w:pStyle w:val="48"/>
        <w:numPr>
          <w:ilvl w:val="0"/>
          <w:numId w:val="38"/>
        </w:numPr>
        <w:tabs>
          <w:tab w:val="right" w:pos="849"/>
        </w:tabs>
        <w:rPr>
          <w:rFonts w:hint="cs"/>
          <w:rtl/>
        </w:rPr>
      </w:pPr>
      <w:r w:rsidRPr="008C0FB5">
        <w:rPr>
          <w:rFonts w:hint="cs"/>
          <w:rtl/>
        </w:rPr>
        <w:t>حسن كيرة، أصول القانون، ط2، مطبعة دار المعارف، 1960م.</w:t>
      </w:r>
    </w:p>
    <w:p w14:paraId="18A99B01" w14:textId="77777777" w:rsidR="0094067A" w:rsidRPr="008C0FB5" w:rsidRDefault="0094067A" w:rsidP="007A1F34">
      <w:pPr>
        <w:pStyle w:val="48"/>
        <w:numPr>
          <w:ilvl w:val="0"/>
          <w:numId w:val="38"/>
        </w:numPr>
        <w:tabs>
          <w:tab w:val="right" w:pos="849"/>
        </w:tabs>
        <w:rPr>
          <w:rFonts w:hint="cs"/>
          <w:rtl/>
        </w:rPr>
      </w:pPr>
      <w:r w:rsidRPr="008C0FB5">
        <w:rPr>
          <w:rFonts w:hint="cs"/>
          <w:rtl/>
        </w:rPr>
        <w:t>حسن كيرة، المدخل إلى القانون، منشأة المعارف، الإسكندرية، 1971م.</w:t>
      </w:r>
    </w:p>
    <w:p w14:paraId="3DAC2146" w14:textId="77777777" w:rsidR="0094067A" w:rsidRPr="008C0FB5" w:rsidRDefault="0094067A" w:rsidP="007A1F34">
      <w:pPr>
        <w:pStyle w:val="48"/>
        <w:numPr>
          <w:ilvl w:val="0"/>
          <w:numId w:val="38"/>
        </w:numPr>
        <w:tabs>
          <w:tab w:val="right" w:pos="849"/>
        </w:tabs>
        <w:rPr>
          <w:rFonts w:hint="cs"/>
          <w:rtl/>
        </w:rPr>
      </w:pPr>
      <w:r w:rsidRPr="008C0FB5">
        <w:rPr>
          <w:rFonts w:hint="cs"/>
          <w:rtl/>
        </w:rPr>
        <w:t>حسين عامر، القوة الملزمة للعقد، القاهرة، 1949م.</w:t>
      </w:r>
    </w:p>
    <w:p w14:paraId="0F853ED8" w14:textId="77777777" w:rsidR="0094067A" w:rsidRPr="008C0FB5" w:rsidRDefault="0094067A" w:rsidP="007A1F34">
      <w:pPr>
        <w:pStyle w:val="48"/>
        <w:numPr>
          <w:ilvl w:val="0"/>
          <w:numId w:val="38"/>
        </w:numPr>
        <w:tabs>
          <w:tab w:val="right" w:pos="849"/>
        </w:tabs>
        <w:rPr>
          <w:rFonts w:hint="cs"/>
          <w:rtl/>
        </w:rPr>
      </w:pPr>
      <w:r w:rsidRPr="008C0FB5">
        <w:rPr>
          <w:rFonts w:hint="cs"/>
          <w:rtl/>
        </w:rPr>
        <w:t>حسين عطا حسين، نظرية الغلط في الشريعة الإسلامية والقانون الوضعي، دار الحداثة للطباعة والنشر، لبنان، بيروت، دون سنة طبع.</w:t>
      </w:r>
    </w:p>
    <w:p w14:paraId="05C891BB" w14:textId="77777777" w:rsidR="0094067A" w:rsidRPr="008C0FB5" w:rsidRDefault="0094067A" w:rsidP="007A1F34">
      <w:pPr>
        <w:pStyle w:val="48"/>
        <w:numPr>
          <w:ilvl w:val="0"/>
          <w:numId w:val="38"/>
        </w:numPr>
        <w:tabs>
          <w:tab w:val="right" w:pos="849"/>
        </w:tabs>
        <w:rPr>
          <w:rFonts w:hint="cs"/>
          <w:rtl/>
        </w:rPr>
      </w:pPr>
      <w:r w:rsidRPr="008C0FB5">
        <w:rPr>
          <w:rFonts w:hint="cs"/>
          <w:rtl/>
        </w:rPr>
        <w:t>حلمي بهجت بدوي، أصول الالتزامات، الكتاب الأول، نظرية العقد، مطبعة نوري، القاهرة، 1943م.</w:t>
      </w:r>
    </w:p>
    <w:p w14:paraId="7A8B5B51"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رمضان أبو السعود، المدخل إلى القانون وبخاصة المصري واللبناني، الدار الجامعية للطباعة، 1986م. </w:t>
      </w:r>
    </w:p>
    <w:p w14:paraId="4F3B2EF5" w14:textId="77777777" w:rsidR="0094067A" w:rsidRPr="008C0FB5" w:rsidRDefault="0094067A" w:rsidP="007A1F34">
      <w:pPr>
        <w:pStyle w:val="48"/>
        <w:numPr>
          <w:ilvl w:val="0"/>
          <w:numId w:val="38"/>
        </w:numPr>
        <w:tabs>
          <w:tab w:val="right" w:pos="849"/>
        </w:tabs>
        <w:rPr>
          <w:rFonts w:hint="cs"/>
          <w:rtl/>
        </w:rPr>
      </w:pPr>
      <w:r w:rsidRPr="008C0FB5">
        <w:rPr>
          <w:rFonts w:hint="cs"/>
          <w:rtl/>
        </w:rPr>
        <w:t>رمضان أبو السعود، مبادئ الالتزامات، الدار الجامعية للطباعة والنشر، بيروت، 1984م.</w:t>
      </w:r>
    </w:p>
    <w:p w14:paraId="2C8542A6" w14:textId="77777777" w:rsidR="0094067A" w:rsidRPr="008C0FB5" w:rsidRDefault="0094067A" w:rsidP="007A1F34">
      <w:pPr>
        <w:pStyle w:val="48"/>
        <w:numPr>
          <w:ilvl w:val="0"/>
          <w:numId w:val="38"/>
        </w:numPr>
        <w:tabs>
          <w:tab w:val="right" w:pos="849"/>
        </w:tabs>
        <w:rPr>
          <w:rFonts w:hint="cs"/>
          <w:rtl/>
        </w:rPr>
      </w:pPr>
      <w:r w:rsidRPr="008C0FB5">
        <w:rPr>
          <w:rFonts w:hint="cs"/>
          <w:rtl/>
        </w:rPr>
        <w:t>رياض القيسي، علم أصول القانون، ط1، مطبعة الفرات، بيت الحكمة، بغداد، 2002م.</w:t>
      </w:r>
    </w:p>
    <w:p w14:paraId="0F5AA563" w14:textId="77777777" w:rsidR="0094067A" w:rsidRPr="008C0FB5" w:rsidRDefault="0094067A" w:rsidP="007A1F34">
      <w:pPr>
        <w:pStyle w:val="48"/>
        <w:numPr>
          <w:ilvl w:val="0"/>
          <w:numId w:val="38"/>
        </w:numPr>
        <w:tabs>
          <w:tab w:val="right" w:pos="849"/>
        </w:tabs>
        <w:rPr>
          <w:rFonts w:hint="cs"/>
          <w:rtl/>
        </w:rPr>
      </w:pPr>
      <w:r w:rsidRPr="008C0FB5">
        <w:rPr>
          <w:rFonts w:hint="cs"/>
          <w:rtl/>
        </w:rPr>
        <w:t>سعيد يحيى ومحمد المظفر، مبادئ القانون والالتزامات، ط1، مطبعة دار عكاظ للطباعة والنشر، 1987م.</w:t>
      </w:r>
    </w:p>
    <w:p w14:paraId="23877A98" w14:textId="77777777" w:rsidR="0094067A" w:rsidRPr="008C0FB5" w:rsidRDefault="0094067A" w:rsidP="007A1F34">
      <w:pPr>
        <w:pStyle w:val="48"/>
        <w:numPr>
          <w:ilvl w:val="0"/>
          <w:numId w:val="38"/>
        </w:numPr>
        <w:tabs>
          <w:tab w:val="right" w:pos="849"/>
        </w:tabs>
        <w:rPr>
          <w:rFonts w:hint="cs"/>
          <w:rtl/>
        </w:rPr>
      </w:pPr>
      <w:r w:rsidRPr="008C0FB5">
        <w:rPr>
          <w:rFonts w:hint="cs"/>
          <w:rtl/>
        </w:rPr>
        <w:t>سليمان مرقس، الوافي في شرح القانون المدني، ج2، المجلد الأول، ط4، مصر، 1988م.</w:t>
      </w:r>
    </w:p>
    <w:p w14:paraId="1F76D277" w14:textId="77777777" w:rsidR="0094067A" w:rsidRPr="008C0FB5" w:rsidRDefault="0094067A" w:rsidP="007A1F34">
      <w:pPr>
        <w:pStyle w:val="48"/>
        <w:numPr>
          <w:ilvl w:val="0"/>
          <w:numId w:val="38"/>
        </w:numPr>
        <w:tabs>
          <w:tab w:val="right" w:pos="849"/>
        </w:tabs>
        <w:rPr>
          <w:rFonts w:hint="cs"/>
          <w:rtl/>
        </w:rPr>
      </w:pPr>
      <w:r w:rsidRPr="008C0FB5">
        <w:rPr>
          <w:rFonts w:hint="cs"/>
          <w:rtl/>
        </w:rPr>
        <w:t>شمس الدين الوكيل، دروس في نظرية العقد، ط1، منشأة المعارف بالإسكندرية، 1960م.</w:t>
      </w:r>
    </w:p>
    <w:p w14:paraId="2C74F061" w14:textId="77777777" w:rsidR="0094067A" w:rsidRPr="008C0FB5" w:rsidRDefault="0094067A" w:rsidP="007A1F34">
      <w:pPr>
        <w:pStyle w:val="48"/>
        <w:numPr>
          <w:ilvl w:val="0"/>
          <w:numId w:val="38"/>
        </w:numPr>
        <w:tabs>
          <w:tab w:val="right" w:pos="849"/>
        </w:tabs>
        <w:rPr>
          <w:rFonts w:hint="cs"/>
          <w:rtl/>
        </w:rPr>
      </w:pPr>
      <w:r w:rsidRPr="008C0FB5">
        <w:rPr>
          <w:rFonts w:hint="cs"/>
          <w:rtl/>
        </w:rPr>
        <w:t>صبيح المسكوني، القانون الروماني، مطبعة شفيق، بغداد، ط1، 1968م.</w:t>
      </w:r>
    </w:p>
    <w:p w14:paraId="1D368837"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طلبة وهبة خطاب، مقابل الالتزام بالوعد في القانون </w:t>
      </w:r>
      <w:proofErr w:type="spellStart"/>
      <w:r w:rsidRPr="008C0FB5">
        <w:rPr>
          <w:rFonts w:hint="cs"/>
          <w:rtl/>
        </w:rPr>
        <w:t>الانكلو</w:t>
      </w:r>
      <w:proofErr w:type="spellEnd"/>
      <w:r w:rsidRPr="008C0FB5">
        <w:rPr>
          <w:rFonts w:hint="cs"/>
          <w:rtl/>
        </w:rPr>
        <w:t xml:space="preserve"> أمريكي، دار الفكر العربي، 1979م.</w:t>
      </w:r>
    </w:p>
    <w:p w14:paraId="50146AB0" w14:textId="77777777" w:rsidR="0094067A" w:rsidRPr="008C0FB5" w:rsidRDefault="0094067A" w:rsidP="007A1F34">
      <w:pPr>
        <w:pStyle w:val="48"/>
        <w:numPr>
          <w:ilvl w:val="0"/>
          <w:numId w:val="38"/>
        </w:numPr>
        <w:tabs>
          <w:tab w:val="right" w:pos="849"/>
        </w:tabs>
        <w:rPr>
          <w:rFonts w:hint="cs"/>
          <w:rtl/>
        </w:rPr>
      </w:pPr>
      <w:r w:rsidRPr="008C0FB5">
        <w:rPr>
          <w:rFonts w:hint="cs"/>
          <w:rtl/>
        </w:rPr>
        <w:t>عباس الصراف وجورج حزبون، المدخل إلى علم القانون، ط3، مكتبة دار الثقافة، 1994م.</w:t>
      </w:r>
    </w:p>
    <w:p w14:paraId="3A4DD16E"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الباقي البكري، شرح القانون المدني العراقي، ج3، في أحكام الالتزام، تنفيذ الالتزام، دراسة مقارنة، مطبعة الزهراء، 1971م.</w:t>
      </w:r>
    </w:p>
    <w:p w14:paraId="56684D97"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الحي حجازي، النظرية العامة للالتزام، ج2، مصادر الالتزام، 1954م.</w:t>
      </w:r>
    </w:p>
    <w:p w14:paraId="7A757185"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عبد الحي حجازي، النظرية العامة للالتزام، جامعة الكويت، تحقيق: محمد الألفي، ط1، </w:t>
      </w:r>
      <w:r w:rsidRPr="008C0FB5">
        <w:rPr>
          <w:rFonts w:hint="cs"/>
          <w:rtl/>
        </w:rPr>
        <w:lastRenderedPageBreak/>
        <w:t>1982م.</w:t>
      </w:r>
    </w:p>
    <w:p w14:paraId="0690E917"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الحي حجازي، مصادر الالتزام، ط1، دون مطبعة ومكان طبع، 1962م.</w:t>
      </w:r>
    </w:p>
    <w:p w14:paraId="004ACEE2"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الرحمن عياد، أساس الالتزام العقدي، المكتب المصري الحديث للطباعة والنشر، القاهرة، 1972م.</w:t>
      </w:r>
    </w:p>
    <w:p w14:paraId="50EF5811"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الرزاق أحمد السنهوري، نظرية العقد، دار الفكر للطباعة والنشر، القاهرة، 1934م.</w:t>
      </w:r>
    </w:p>
    <w:p w14:paraId="09126537"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الرزاق السنهوري، الموجز في النظرية العامة للالتزامات، ج1، مصادر الالتزام، مطبعة لجنة التأليف والترجمة، القاهرة، 1938م.</w:t>
      </w:r>
    </w:p>
    <w:p w14:paraId="21C19319"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الرزاق السنهوري، الوسيط في شرح القانون المدني، ج1، ط2، دار النهضة العربية، القاهرة، 1964م.</w:t>
      </w:r>
    </w:p>
    <w:p w14:paraId="1A34EEB1"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الرزاق السنهوري، مصادر الحق في الفقه الإسلامي، ج4، دار الفكر للطباعة والنشر، القاهرة، بدون سنة طبع.</w:t>
      </w:r>
    </w:p>
    <w:p w14:paraId="7BB5B026"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السلام ذهني، الحيل (المحذور منه والمشروع)، مطبعة مصر، القاهرة، 1946م.</w:t>
      </w:r>
    </w:p>
    <w:p w14:paraId="04339652"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الفتاح عبد الباقي، نظرية العقد، مطبعة النهضة العربية، القاهرة، 1984م.</w:t>
      </w:r>
    </w:p>
    <w:p w14:paraId="4A1A8CA6"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الفتاح عبد الباقي، نظرية القانون، ط3، مطابع الكتاب العربي، مصر، 1959م.</w:t>
      </w:r>
    </w:p>
    <w:p w14:paraId="7792935E"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القادر الفار، مصادر الالتزام، الدار العلمية الدولية، دار الثقافة للنشر والتوزيع، عمان، 1998م.</w:t>
      </w:r>
    </w:p>
    <w:p w14:paraId="4D2C7FE6"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الله الجليلي، الشرط المستحيل والمخالف للنظام العام والآداب في القانون المدني، المطبعة العالمية، 1958م.</w:t>
      </w:r>
    </w:p>
    <w:p w14:paraId="3F33730C"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الله مصطفى، علم أصول القانون، بغداد، 1996م.</w:t>
      </w:r>
    </w:p>
    <w:p w14:paraId="33D15AB1"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المجيد الحكيم، الاعتبار كركن في العقد في القانون الانكليزي، بغداد، 1991م.</w:t>
      </w:r>
    </w:p>
    <w:p w14:paraId="01910F26"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المجيد الحكيم، الموجز في شرح القانون المدني، ج1، ط2، شركة الطبع والنشر الأهلية، بغداد، 1963م.</w:t>
      </w:r>
    </w:p>
    <w:p w14:paraId="34FEC5ED"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المجيد الحكيم، الوسيط في نظرية العقد، ج1، شركة الطبع والنشر الأهلية، بغداد، 1967م.</w:t>
      </w:r>
    </w:p>
    <w:p w14:paraId="2CFBD384"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المجيد الحكيم وعبد الباقي البكري ومحمد طه البشير، الوجيز في نظرية الالتزام، ج1، مصادر الالتزام، 1986م.</w:t>
      </w:r>
    </w:p>
    <w:p w14:paraId="53EE39B1"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المنعم البدراوي، النظرية العامة للالتزام، ج1، مصادر الالتزام، مطبعة دار النهضة العربية، بيروت، 1968م.</w:t>
      </w:r>
    </w:p>
    <w:p w14:paraId="75282F79"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المنعم البدراوي، النظرية العامة للالتزام، ج2، أحكام الالتزام، بلا مكان وسنة طبع.</w:t>
      </w:r>
    </w:p>
    <w:p w14:paraId="21B23A55"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المنعم البدراوي، مبادئ القانون، بدون مكان طبع، 1981م.</w:t>
      </w:r>
    </w:p>
    <w:p w14:paraId="4D748EA4"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عبد المنعم فرج </w:t>
      </w:r>
      <w:proofErr w:type="spellStart"/>
      <w:r w:rsidRPr="008C0FB5">
        <w:rPr>
          <w:rFonts w:hint="cs"/>
          <w:rtl/>
        </w:rPr>
        <w:t>الصدة</w:t>
      </w:r>
      <w:proofErr w:type="spellEnd"/>
      <w:r w:rsidRPr="008C0FB5">
        <w:rPr>
          <w:rFonts w:hint="cs"/>
          <w:rtl/>
        </w:rPr>
        <w:t>، مصادر الالتزام، دار النهضة العربية، القاهرة، دون سنة طبع.</w:t>
      </w:r>
    </w:p>
    <w:p w14:paraId="0B911986"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الناصر العطار، نظرية الالتزام، الكتاب الأول، بدون مكان وسنة طبع.</w:t>
      </w:r>
    </w:p>
    <w:p w14:paraId="588CEB64"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عبد الناصر توفيق العطار، شرح أحكام الإيجار في القانون المدني وقانون إيجار </w:t>
      </w:r>
      <w:r w:rsidRPr="008C0FB5">
        <w:rPr>
          <w:rFonts w:hint="cs"/>
          <w:rtl/>
        </w:rPr>
        <w:lastRenderedPageBreak/>
        <w:t>الأماكن، القاهرة، 1970م.</w:t>
      </w:r>
    </w:p>
    <w:p w14:paraId="312F40A2" w14:textId="77777777" w:rsidR="0094067A" w:rsidRPr="008C0FB5" w:rsidRDefault="0094067A" w:rsidP="007A1F34">
      <w:pPr>
        <w:pStyle w:val="48"/>
        <w:numPr>
          <w:ilvl w:val="0"/>
          <w:numId w:val="38"/>
        </w:numPr>
        <w:tabs>
          <w:tab w:val="right" w:pos="849"/>
        </w:tabs>
        <w:rPr>
          <w:rFonts w:hint="cs"/>
          <w:rtl/>
        </w:rPr>
      </w:pPr>
      <w:r w:rsidRPr="008C0FB5">
        <w:rPr>
          <w:rFonts w:hint="cs"/>
          <w:rtl/>
        </w:rPr>
        <w:t>عبد الودود يحيى، الموجز في النظرية العامة للالتزامات، 1982م.</w:t>
      </w:r>
    </w:p>
    <w:p w14:paraId="7CCF5081" w14:textId="77777777" w:rsidR="0094067A" w:rsidRPr="008C0FB5" w:rsidRDefault="0094067A" w:rsidP="007A1F34">
      <w:pPr>
        <w:pStyle w:val="48"/>
        <w:numPr>
          <w:ilvl w:val="0"/>
          <w:numId w:val="38"/>
        </w:numPr>
        <w:tabs>
          <w:tab w:val="right" w:pos="849"/>
        </w:tabs>
        <w:rPr>
          <w:rFonts w:hint="cs"/>
          <w:rtl/>
        </w:rPr>
      </w:pPr>
      <w:r w:rsidRPr="008C0FB5">
        <w:rPr>
          <w:rFonts w:hint="cs"/>
          <w:rtl/>
        </w:rPr>
        <w:t>عدنان إبراهيم السرحان ونوري حمد خاطر، مصادر الحقوق الشخصية، مكتبة دار الثقافة للنشر والتوزيع، عمان، 1997م.</w:t>
      </w:r>
    </w:p>
    <w:p w14:paraId="385053E8" w14:textId="77777777" w:rsidR="0094067A" w:rsidRPr="008C0FB5" w:rsidRDefault="0094067A" w:rsidP="007A1F34">
      <w:pPr>
        <w:pStyle w:val="48"/>
        <w:numPr>
          <w:ilvl w:val="0"/>
          <w:numId w:val="38"/>
        </w:numPr>
        <w:tabs>
          <w:tab w:val="right" w:pos="849"/>
        </w:tabs>
        <w:rPr>
          <w:rFonts w:hint="cs"/>
          <w:rtl/>
        </w:rPr>
      </w:pPr>
      <w:r w:rsidRPr="008C0FB5">
        <w:rPr>
          <w:rFonts w:hint="cs"/>
          <w:rtl/>
        </w:rPr>
        <w:t>عمر محمد مصطفى، أصول تاريخ القانون، مؤسسة المطبوعات الخيرية، القاهرة، 1961م.</w:t>
      </w:r>
    </w:p>
    <w:p w14:paraId="7CAFCC9C" w14:textId="77777777" w:rsidR="0094067A" w:rsidRPr="008C0FB5" w:rsidRDefault="0094067A" w:rsidP="007A1F34">
      <w:pPr>
        <w:pStyle w:val="48"/>
        <w:numPr>
          <w:ilvl w:val="0"/>
          <w:numId w:val="38"/>
        </w:numPr>
        <w:tabs>
          <w:tab w:val="right" w:pos="849"/>
        </w:tabs>
        <w:rPr>
          <w:rFonts w:hint="cs"/>
          <w:rtl/>
        </w:rPr>
      </w:pPr>
      <w:r w:rsidRPr="008C0FB5">
        <w:rPr>
          <w:rFonts w:hint="cs"/>
          <w:rtl/>
        </w:rPr>
        <w:t>عمر ممدوح مصطفى، القانون الروماني، ط4، دار المعارف، مصر، 1961م.</w:t>
      </w:r>
    </w:p>
    <w:p w14:paraId="7F497AFF" w14:textId="77777777" w:rsidR="0094067A" w:rsidRPr="008C0FB5" w:rsidRDefault="0094067A" w:rsidP="007A1F34">
      <w:pPr>
        <w:pStyle w:val="48"/>
        <w:numPr>
          <w:ilvl w:val="0"/>
          <w:numId w:val="38"/>
        </w:numPr>
        <w:tabs>
          <w:tab w:val="right" w:pos="849"/>
        </w:tabs>
        <w:rPr>
          <w:rFonts w:hint="cs"/>
          <w:rtl/>
        </w:rPr>
      </w:pPr>
      <w:r w:rsidRPr="008C0FB5">
        <w:rPr>
          <w:rFonts w:hint="cs"/>
          <w:rtl/>
        </w:rPr>
        <w:t>غالب الداودي، المدخل إلى علم القانون وخاصة الأردني، ط4، 1996م.</w:t>
      </w:r>
    </w:p>
    <w:p w14:paraId="4100926E" w14:textId="77777777" w:rsidR="0094067A" w:rsidRPr="008C0FB5" w:rsidRDefault="0094067A" w:rsidP="007A1F34">
      <w:pPr>
        <w:pStyle w:val="48"/>
        <w:numPr>
          <w:ilvl w:val="0"/>
          <w:numId w:val="38"/>
        </w:numPr>
        <w:tabs>
          <w:tab w:val="right" w:pos="849"/>
        </w:tabs>
        <w:rPr>
          <w:rFonts w:hint="cs"/>
          <w:rtl/>
        </w:rPr>
      </w:pPr>
      <w:r w:rsidRPr="008C0FB5">
        <w:rPr>
          <w:rFonts w:hint="cs"/>
          <w:rtl/>
        </w:rPr>
        <w:t>غني حسون طه، الوجيز في النظرية العامة للالتزام، الكتاب الأول، مصادر الالتزام، مطبعة المعارف، بغداد، 1971م.</w:t>
      </w:r>
    </w:p>
    <w:p w14:paraId="4DFE614C"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فتحي </w:t>
      </w:r>
      <w:proofErr w:type="spellStart"/>
      <w:r w:rsidRPr="008C0FB5">
        <w:rPr>
          <w:rFonts w:hint="cs"/>
          <w:rtl/>
        </w:rPr>
        <w:t>الدريني</w:t>
      </w:r>
      <w:proofErr w:type="spellEnd"/>
      <w:r w:rsidRPr="008C0FB5">
        <w:rPr>
          <w:rFonts w:hint="cs"/>
          <w:rtl/>
        </w:rPr>
        <w:t>، الحق ومدى سلطان الدولة في تقييده ونظرية التعسف باستعمال لحق، ط1، مطبعة جامعة دمشق، 1967م.</w:t>
      </w:r>
    </w:p>
    <w:p w14:paraId="32E78A8F"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محمد حسن </w:t>
      </w:r>
      <w:proofErr w:type="gramStart"/>
      <w:r w:rsidRPr="008C0FB5">
        <w:rPr>
          <w:rFonts w:hint="cs"/>
          <w:rtl/>
        </w:rPr>
        <w:t>قاسم ,</w:t>
      </w:r>
      <w:proofErr w:type="gramEnd"/>
      <w:r w:rsidRPr="008C0FB5">
        <w:rPr>
          <w:rFonts w:hint="cs"/>
          <w:rtl/>
        </w:rPr>
        <w:t xml:space="preserve"> </w:t>
      </w:r>
      <w:proofErr w:type="spellStart"/>
      <w:r w:rsidRPr="008C0FB5">
        <w:rPr>
          <w:rFonts w:hint="cs"/>
          <w:rtl/>
        </w:rPr>
        <w:t>اللتزامات</w:t>
      </w:r>
      <w:proofErr w:type="spellEnd"/>
      <w:r w:rsidRPr="008C0FB5">
        <w:rPr>
          <w:rFonts w:hint="cs"/>
          <w:rtl/>
        </w:rPr>
        <w:t xml:space="preserve"> , المجلد الاول , منشورات الجلبي الحقوقية .سنة 2017 ,ص 111.</w:t>
      </w:r>
    </w:p>
    <w:p w14:paraId="77BB63A4" w14:textId="77777777" w:rsidR="0094067A" w:rsidRPr="008C0FB5" w:rsidRDefault="0094067A" w:rsidP="007A1F34">
      <w:pPr>
        <w:pStyle w:val="48"/>
        <w:numPr>
          <w:ilvl w:val="0"/>
          <w:numId w:val="38"/>
        </w:numPr>
        <w:tabs>
          <w:tab w:val="right" w:pos="849"/>
        </w:tabs>
        <w:rPr>
          <w:rFonts w:hint="cs"/>
          <w:rtl/>
        </w:rPr>
      </w:pPr>
      <w:r w:rsidRPr="008C0FB5">
        <w:rPr>
          <w:rFonts w:hint="cs"/>
          <w:rtl/>
        </w:rPr>
        <w:t>فتحي عبد الرحيم عبد الله، العناصر المكونة للعقد كمصدر للالتزام في القانون المصري والانكليزي، الإسكندرية، 1979م.</w:t>
      </w:r>
    </w:p>
    <w:p w14:paraId="6AEA86A8" w14:textId="77777777" w:rsidR="0094067A" w:rsidRPr="008C0FB5" w:rsidRDefault="0094067A" w:rsidP="007A1F34">
      <w:pPr>
        <w:pStyle w:val="48"/>
        <w:numPr>
          <w:ilvl w:val="0"/>
          <w:numId w:val="38"/>
        </w:numPr>
        <w:tabs>
          <w:tab w:val="right" w:pos="849"/>
        </w:tabs>
        <w:rPr>
          <w:rFonts w:hint="cs"/>
          <w:rtl/>
        </w:rPr>
      </w:pPr>
      <w:r w:rsidRPr="008C0FB5">
        <w:rPr>
          <w:rFonts w:hint="cs"/>
          <w:rtl/>
        </w:rPr>
        <w:t>فريد فتيان، مصادر الالتزام، مطبعة العاني، بغداد، 1956 – 1957م.</w:t>
      </w:r>
    </w:p>
    <w:p w14:paraId="423CD371" w14:textId="77777777" w:rsidR="0094067A" w:rsidRPr="008C0FB5" w:rsidRDefault="0094067A" w:rsidP="007A1F34">
      <w:pPr>
        <w:pStyle w:val="48"/>
        <w:numPr>
          <w:ilvl w:val="0"/>
          <w:numId w:val="38"/>
        </w:numPr>
        <w:tabs>
          <w:tab w:val="right" w:pos="849"/>
        </w:tabs>
        <w:rPr>
          <w:rFonts w:hint="cs"/>
          <w:rtl/>
        </w:rPr>
      </w:pPr>
      <w:r w:rsidRPr="008C0FB5">
        <w:rPr>
          <w:rFonts w:hint="cs"/>
          <w:rtl/>
        </w:rPr>
        <w:t>مأمون الكزبري، نظرية الالتزام في ضوء قانون الالتزامات والعقود المغربي، ج1، مصادر الالتزام، بدون مكان وسنة طبع.</w:t>
      </w:r>
    </w:p>
    <w:p w14:paraId="32886BFF"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مالك </w:t>
      </w:r>
      <w:proofErr w:type="spellStart"/>
      <w:r w:rsidRPr="008C0FB5">
        <w:rPr>
          <w:rFonts w:hint="cs"/>
          <w:rtl/>
        </w:rPr>
        <w:t>دوهان</w:t>
      </w:r>
      <w:proofErr w:type="spellEnd"/>
      <w:r w:rsidRPr="008C0FB5">
        <w:rPr>
          <w:rFonts w:hint="cs"/>
          <w:rtl/>
        </w:rPr>
        <w:t xml:space="preserve"> الحسن، المدخل لدراسة القانون، ج1، مطبعة الجامعة المستنصرية، 1972م.</w:t>
      </w:r>
    </w:p>
    <w:p w14:paraId="36A3D63A" w14:textId="77777777" w:rsidR="0094067A" w:rsidRPr="008C0FB5" w:rsidRDefault="0094067A" w:rsidP="007A1F34">
      <w:pPr>
        <w:pStyle w:val="48"/>
        <w:numPr>
          <w:ilvl w:val="0"/>
          <w:numId w:val="38"/>
        </w:numPr>
        <w:tabs>
          <w:tab w:val="right" w:pos="849"/>
        </w:tabs>
        <w:rPr>
          <w:rFonts w:hint="cs"/>
          <w:rtl/>
        </w:rPr>
      </w:pPr>
      <w:r w:rsidRPr="008C0FB5">
        <w:rPr>
          <w:rFonts w:hint="cs"/>
          <w:rtl/>
        </w:rPr>
        <w:t>منذر الفضل، النظرية العامة للالتزام، ط1، ج1، مصادر الالتزام، 1991م.</w:t>
      </w:r>
    </w:p>
    <w:p w14:paraId="465E3893"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مجيد حميد </w:t>
      </w:r>
      <w:proofErr w:type="spellStart"/>
      <w:r w:rsidRPr="008C0FB5">
        <w:rPr>
          <w:rFonts w:hint="cs"/>
          <w:rtl/>
        </w:rPr>
        <w:t>العنبكي</w:t>
      </w:r>
      <w:proofErr w:type="spellEnd"/>
      <w:r w:rsidRPr="008C0FB5">
        <w:rPr>
          <w:rFonts w:hint="cs"/>
          <w:rtl/>
        </w:rPr>
        <w:t>، أثر المصلحة في التشريعات، الكتاب الأول، في التشريع الإسلامي، بغداد، 2001م.</w:t>
      </w:r>
    </w:p>
    <w:p w14:paraId="27AD4083" w14:textId="77777777" w:rsidR="0094067A" w:rsidRPr="008C0FB5" w:rsidRDefault="0094067A" w:rsidP="007A1F34">
      <w:pPr>
        <w:pStyle w:val="48"/>
        <w:numPr>
          <w:ilvl w:val="0"/>
          <w:numId w:val="38"/>
        </w:numPr>
        <w:tabs>
          <w:tab w:val="right" w:pos="849"/>
        </w:tabs>
        <w:rPr>
          <w:rFonts w:hint="cs"/>
          <w:rtl/>
        </w:rPr>
      </w:pPr>
      <w:r w:rsidRPr="008C0FB5">
        <w:rPr>
          <w:rFonts w:hint="cs"/>
          <w:rtl/>
        </w:rPr>
        <w:t>محمد حسنين، الوجيز في نظرية الالتزام، المؤسسة الوطنية للفنون المطبعية، الجزائر، 1983م.</w:t>
      </w:r>
    </w:p>
    <w:p w14:paraId="3C90A4A7" w14:textId="77777777" w:rsidR="0094067A" w:rsidRPr="008C0FB5" w:rsidRDefault="0094067A" w:rsidP="007A1F34">
      <w:pPr>
        <w:pStyle w:val="48"/>
        <w:numPr>
          <w:ilvl w:val="0"/>
          <w:numId w:val="38"/>
        </w:numPr>
        <w:tabs>
          <w:tab w:val="right" w:pos="849"/>
        </w:tabs>
        <w:rPr>
          <w:rFonts w:hint="cs"/>
          <w:rtl/>
        </w:rPr>
      </w:pPr>
      <w:r w:rsidRPr="008C0FB5">
        <w:rPr>
          <w:rFonts w:hint="cs"/>
          <w:rtl/>
        </w:rPr>
        <w:t>محمد عبد الظاهر حسين، المدخل للدراسات القانونية، نظرية القانون، بدون مكان طبع، 1993م.</w:t>
      </w:r>
    </w:p>
    <w:p w14:paraId="140963F3" w14:textId="77777777" w:rsidR="0094067A" w:rsidRPr="008C0FB5" w:rsidRDefault="0094067A" w:rsidP="007A1F34">
      <w:pPr>
        <w:pStyle w:val="48"/>
        <w:numPr>
          <w:ilvl w:val="0"/>
          <w:numId w:val="38"/>
        </w:numPr>
        <w:tabs>
          <w:tab w:val="right" w:pos="849"/>
        </w:tabs>
        <w:rPr>
          <w:rFonts w:hint="cs"/>
          <w:rtl/>
        </w:rPr>
      </w:pPr>
      <w:r w:rsidRPr="008C0FB5">
        <w:rPr>
          <w:rFonts w:hint="cs"/>
          <w:rtl/>
        </w:rPr>
        <w:t>محمد علي عرفة، شرح القانون المدني الجديد، في التأمين والعقود الصغيرة، القاهرة، 1975م.</w:t>
      </w:r>
    </w:p>
    <w:p w14:paraId="474C2D7B" w14:textId="77777777" w:rsidR="0094067A" w:rsidRPr="008C0FB5" w:rsidRDefault="0094067A" w:rsidP="007A1F34">
      <w:pPr>
        <w:pStyle w:val="48"/>
        <w:numPr>
          <w:ilvl w:val="0"/>
          <w:numId w:val="38"/>
        </w:numPr>
        <w:tabs>
          <w:tab w:val="right" w:pos="849"/>
        </w:tabs>
        <w:rPr>
          <w:rFonts w:hint="cs"/>
          <w:rtl/>
        </w:rPr>
      </w:pPr>
      <w:r w:rsidRPr="008C0FB5">
        <w:rPr>
          <w:rFonts w:hint="cs"/>
          <w:rtl/>
        </w:rPr>
        <w:t>محمد يحيى عبد الرحمن المحاسنة، مفهوم المحل والسبب في العقد، دار النهضة العربية، القاهرة، 1986م.</w:t>
      </w:r>
    </w:p>
    <w:p w14:paraId="5079971B" w14:textId="77777777" w:rsidR="0094067A" w:rsidRPr="008C0FB5" w:rsidRDefault="0094067A" w:rsidP="007A1F34">
      <w:pPr>
        <w:pStyle w:val="48"/>
        <w:numPr>
          <w:ilvl w:val="0"/>
          <w:numId w:val="38"/>
        </w:numPr>
        <w:tabs>
          <w:tab w:val="right" w:pos="849"/>
        </w:tabs>
        <w:rPr>
          <w:rFonts w:hint="cs"/>
          <w:rtl/>
        </w:rPr>
      </w:pPr>
      <w:r w:rsidRPr="008C0FB5">
        <w:rPr>
          <w:rFonts w:hint="cs"/>
          <w:rtl/>
        </w:rPr>
        <w:t>محمود جمال الدين زكي، الوجيز في نظرية الالتزام، ج1، مصادر الالتزام، مطبعة جامعة القاهرة، القاهرة، 1976م.</w:t>
      </w:r>
    </w:p>
    <w:p w14:paraId="63A6D553" w14:textId="77777777" w:rsidR="0094067A" w:rsidRPr="008C0FB5" w:rsidRDefault="0094067A" w:rsidP="007A1F34">
      <w:pPr>
        <w:pStyle w:val="48"/>
        <w:numPr>
          <w:ilvl w:val="0"/>
          <w:numId w:val="38"/>
        </w:numPr>
        <w:tabs>
          <w:tab w:val="right" w:pos="849"/>
        </w:tabs>
        <w:rPr>
          <w:rFonts w:hint="cs"/>
          <w:rtl/>
        </w:rPr>
      </w:pPr>
      <w:r w:rsidRPr="008C0FB5">
        <w:rPr>
          <w:rFonts w:hint="cs"/>
          <w:rtl/>
        </w:rPr>
        <w:t>محمود أبو عافية، التصرف المجرد، القاهرة، 1947م.</w:t>
      </w:r>
    </w:p>
    <w:p w14:paraId="1252CE49" w14:textId="77777777" w:rsidR="0094067A" w:rsidRPr="008C0FB5" w:rsidRDefault="0094067A" w:rsidP="007A1F34">
      <w:pPr>
        <w:pStyle w:val="48"/>
        <w:numPr>
          <w:ilvl w:val="0"/>
          <w:numId w:val="38"/>
        </w:numPr>
        <w:tabs>
          <w:tab w:val="right" w:pos="849"/>
        </w:tabs>
        <w:rPr>
          <w:rFonts w:hint="cs"/>
          <w:rtl/>
        </w:rPr>
      </w:pPr>
      <w:r w:rsidRPr="008C0FB5">
        <w:rPr>
          <w:rFonts w:hint="cs"/>
          <w:rtl/>
        </w:rPr>
        <w:lastRenderedPageBreak/>
        <w:t xml:space="preserve">محمود عبد المجيد المغربي، المدخل إلى تاريخ الشرائع، ط2، مطابع دار </w:t>
      </w:r>
      <w:proofErr w:type="spellStart"/>
      <w:r w:rsidRPr="008C0FB5">
        <w:rPr>
          <w:rFonts w:hint="cs"/>
          <w:rtl/>
        </w:rPr>
        <w:t>البلال</w:t>
      </w:r>
      <w:proofErr w:type="spellEnd"/>
      <w:r w:rsidRPr="008C0FB5">
        <w:rPr>
          <w:rFonts w:hint="cs"/>
          <w:rtl/>
        </w:rPr>
        <w:t>، لبنان، 1983م.</w:t>
      </w:r>
    </w:p>
    <w:p w14:paraId="0DC08709" w14:textId="77777777" w:rsidR="0094067A" w:rsidRPr="008C0FB5" w:rsidRDefault="0094067A" w:rsidP="007A1F34">
      <w:pPr>
        <w:pStyle w:val="48"/>
        <w:numPr>
          <w:ilvl w:val="0"/>
          <w:numId w:val="38"/>
        </w:numPr>
        <w:tabs>
          <w:tab w:val="right" w:pos="849"/>
        </w:tabs>
        <w:rPr>
          <w:rFonts w:hint="cs"/>
          <w:rtl/>
        </w:rPr>
      </w:pPr>
      <w:r w:rsidRPr="008C0FB5">
        <w:rPr>
          <w:rFonts w:hint="cs"/>
          <w:rtl/>
        </w:rPr>
        <w:t>مختار القاضي، نظرية السبب في الالتزامات المدنية، ط1، مطبعة دار الضياء، 1962م.</w:t>
      </w:r>
    </w:p>
    <w:p w14:paraId="2E0926CF" w14:textId="77777777" w:rsidR="0094067A" w:rsidRPr="008C0FB5" w:rsidRDefault="0094067A" w:rsidP="007A1F34">
      <w:pPr>
        <w:pStyle w:val="48"/>
        <w:numPr>
          <w:ilvl w:val="0"/>
          <w:numId w:val="38"/>
        </w:numPr>
        <w:tabs>
          <w:tab w:val="right" w:pos="849"/>
        </w:tabs>
        <w:rPr>
          <w:rFonts w:hint="cs"/>
          <w:rtl/>
        </w:rPr>
      </w:pPr>
      <w:r w:rsidRPr="008C0FB5">
        <w:rPr>
          <w:rFonts w:hint="cs"/>
          <w:rtl/>
        </w:rPr>
        <w:t>مصطفى الزرقا، محاضرات في القانون المدني السوري، مطبعة دار الهنا، مصر، 1952م.</w:t>
      </w:r>
    </w:p>
    <w:p w14:paraId="30229211" w14:textId="77777777" w:rsidR="0094067A" w:rsidRPr="008C0FB5" w:rsidRDefault="0094067A" w:rsidP="007A1F34">
      <w:pPr>
        <w:pStyle w:val="48"/>
        <w:numPr>
          <w:ilvl w:val="0"/>
          <w:numId w:val="38"/>
        </w:numPr>
        <w:tabs>
          <w:tab w:val="right" w:pos="849"/>
        </w:tabs>
        <w:rPr>
          <w:rFonts w:hint="cs"/>
          <w:rtl/>
        </w:rPr>
      </w:pPr>
      <w:r w:rsidRPr="008C0FB5">
        <w:rPr>
          <w:rFonts w:hint="cs"/>
          <w:rtl/>
        </w:rPr>
        <w:t>مصطفى الزرقا، نظرية الالتزام في القانون المدني السوري، مطبعة جامعة دمشق، 1954م.</w:t>
      </w:r>
    </w:p>
    <w:p w14:paraId="394A58DD" w14:textId="77777777" w:rsidR="0094067A" w:rsidRPr="008C0FB5" w:rsidRDefault="0094067A" w:rsidP="007A1F34">
      <w:pPr>
        <w:pStyle w:val="48"/>
        <w:numPr>
          <w:ilvl w:val="0"/>
          <w:numId w:val="38"/>
        </w:numPr>
        <w:tabs>
          <w:tab w:val="right" w:pos="849"/>
        </w:tabs>
        <w:rPr>
          <w:rFonts w:hint="cs"/>
          <w:rtl/>
        </w:rPr>
      </w:pPr>
      <w:r w:rsidRPr="008C0FB5">
        <w:rPr>
          <w:rFonts w:hint="cs"/>
          <w:rtl/>
        </w:rPr>
        <w:t>مصطفى محمد الجمال، القانون المدني في ثوبه الجديد، مصادر الالتزام، ط1، مطبعة الفتح للطباعة والنشر، الإسكندرية، بدون سنة طبع.</w:t>
      </w:r>
    </w:p>
    <w:p w14:paraId="743FE315" w14:textId="77777777" w:rsidR="0094067A" w:rsidRPr="008C0FB5" w:rsidRDefault="0094067A" w:rsidP="007A1F34">
      <w:pPr>
        <w:pStyle w:val="48"/>
        <w:numPr>
          <w:ilvl w:val="0"/>
          <w:numId w:val="38"/>
        </w:numPr>
        <w:tabs>
          <w:tab w:val="right" w:pos="849"/>
        </w:tabs>
        <w:rPr>
          <w:rFonts w:hint="cs"/>
          <w:rtl/>
        </w:rPr>
      </w:pPr>
      <w:r w:rsidRPr="008C0FB5">
        <w:rPr>
          <w:rFonts w:hint="cs"/>
          <w:rtl/>
        </w:rPr>
        <w:t>منصور مصطفى منصور، المدخل للعلوم القانونية، القاهرة، 1960م.</w:t>
      </w:r>
    </w:p>
    <w:p w14:paraId="51F7A3CC" w14:textId="77777777" w:rsidR="0094067A" w:rsidRPr="008C0FB5" w:rsidRDefault="0094067A" w:rsidP="007A1F34">
      <w:pPr>
        <w:pStyle w:val="48"/>
        <w:numPr>
          <w:ilvl w:val="0"/>
          <w:numId w:val="38"/>
        </w:numPr>
        <w:tabs>
          <w:tab w:val="right" w:pos="849"/>
        </w:tabs>
        <w:rPr>
          <w:rFonts w:hint="cs"/>
          <w:rtl/>
        </w:rPr>
      </w:pPr>
      <w:r w:rsidRPr="008C0FB5">
        <w:rPr>
          <w:rFonts w:hint="cs"/>
          <w:rtl/>
        </w:rPr>
        <w:t>منير القاضي، الشرح الموجز للقانون المدني، ملتقى البحرين، المجلد الأول، مطبعة العاني، بغداد، 1951 – 1952م.</w:t>
      </w:r>
    </w:p>
    <w:p w14:paraId="2453BD07" w14:textId="77777777" w:rsidR="0094067A" w:rsidRPr="008C0FB5" w:rsidRDefault="0094067A" w:rsidP="007A1F34">
      <w:pPr>
        <w:pStyle w:val="48"/>
        <w:numPr>
          <w:ilvl w:val="0"/>
          <w:numId w:val="38"/>
        </w:numPr>
        <w:tabs>
          <w:tab w:val="right" w:pos="849"/>
        </w:tabs>
        <w:rPr>
          <w:rFonts w:hint="cs"/>
          <w:rtl/>
        </w:rPr>
      </w:pPr>
      <w:r w:rsidRPr="008C0FB5">
        <w:rPr>
          <w:rFonts w:hint="cs"/>
          <w:rtl/>
        </w:rPr>
        <w:t>ميشيل فيليه، القانون الروماني، ترجمة: الدكتور هاشم الحافظ، بدون مكان وسنة طبع.</w:t>
      </w:r>
    </w:p>
    <w:p w14:paraId="3B8768F2" w14:textId="77777777" w:rsidR="0094067A" w:rsidRPr="008C0FB5" w:rsidRDefault="0094067A" w:rsidP="007A1F34">
      <w:pPr>
        <w:pStyle w:val="48"/>
        <w:numPr>
          <w:ilvl w:val="0"/>
          <w:numId w:val="38"/>
        </w:numPr>
        <w:tabs>
          <w:tab w:val="right" w:pos="849"/>
        </w:tabs>
        <w:rPr>
          <w:rFonts w:hint="cs"/>
          <w:rtl/>
        </w:rPr>
      </w:pPr>
      <w:r w:rsidRPr="008C0FB5">
        <w:rPr>
          <w:rFonts w:hint="cs"/>
          <w:rtl/>
        </w:rPr>
        <w:t>نعمان أحمد الخطيب، الوسيط في النظم السياسية والقانون الدستوري، مطبعة دار الثقافة للنشر والتوزيع، جامعة مؤتة، 1999م.</w:t>
      </w:r>
    </w:p>
    <w:p w14:paraId="54D1D69E" w14:textId="77777777" w:rsidR="0094067A" w:rsidRPr="008C0FB5" w:rsidRDefault="0094067A" w:rsidP="007A1F34">
      <w:pPr>
        <w:pStyle w:val="48"/>
        <w:numPr>
          <w:ilvl w:val="0"/>
          <w:numId w:val="38"/>
        </w:numPr>
        <w:tabs>
          <w:tab w:val="right" w:pos="849"/>
        </w:tabs>
        <w:rPr>
          <w:rFonts w:hint="cs"/>
          <w:rtl/>
        </w:rPr>
      </w:pPr>
      <w:r w:rsidRPr="008C0FB5">
        <w:rPr>
          <w:rFonts w:hint="cs"/>
          <w:rtl/>
        </w:rPr>
        <w:t>وليم سليم قلادة، التعبير عن الإرادة في القانون المدني المصري، ط1، المطبعة التجارية الحديثة، القاهرة، 1955م.</w:t>
      </w:r>
    </w:p>
    <w:p w14:paraId="112348EA" w14:textId="77777777" w:rsidR="0094067A" w:rsidRPr="008C0FB5" w:rsidRDefault="0094067A" w:rsidP="007A1F34">
      <w:pPr>
        <w:pStyle w:val="48"/>
        <w:numPr>
          <w:ilvl w:val="0"/>
          <w:numId w:val="38"/>
        </w:numPr>
        <w:tabs>
          <w:tab w:val="right" w:pos="849"/>
        </w:tabs>
        <w:rPr>
          <w:rFonts w:hint="cs"/>
          <w:rtl/>
        </w:rPr>
      </w:pPr>
      <w:r w:rsidRPr="008C0FB5">
        <w:rPr>
          <w:rFonts w:hint="cs"/>
          <w:rtl/>
        </w:rPr>
        <w:t xml:space="preserve">يحيى علي قاسم، المدخل لدراسة العلوم القانونية، مطبعة </w:t>
      </w:r>
      <w:proofErr w:type="spellStart"/>
      <w:r w:rsidRPr="008C0FB5">
        <w:rPr>
          <w:rFonts w:hint="cs"/>
          <w:rtl/>
        </w:rPr>
        <w:t>كوميت</w:t>
      </w:r>
      <w:proofErr w:type="spellEnd"/>
      <w:r w:rsidRPr="008C0FB5">
        <w:rPr>
          <w:rFonts w:hint="cs"/>
          <w:rtl/>
        </w:rPr>
        <w:t xml:space="preserve"> للتوزيع، القاهرة، 1997م.</w:t>
      </w:r>
    </w:p>
    <w:p w14:paraId="11B0E080" w14:textId="77777777" w:rsidR="0094067A" w:rsidRPr="008C0FB5" w:rsidRDefault="0094067A" w:rsidP="008E7BCC">
      <w:pPr>
        <w:pStyle w:val="48"/>
        <w:rPr>
          <w:rFonts w:hint="cs"/>
          <w:b/>
          <w:bCs/>
          <w:rtl/>
        </w:rPr>
      </w:pPr>
      <w:r w:rsidRPr="008C0FB5">
        <w:rPr>
          <w:rFonts w:hint="cs"/>
          <w:b/>
          <w:bCs/>
          <w:rtl/>
        </w:rPr>
        <w:t>- معاجم اللغة:</w:t>
      </w:r>
    </w:p>
    <w:p w14:paraId="49A13769" w14:textId="77777777" w:rsidR="0094067A" w:rsidRPr="008C0FB5" w:rsidRDefault="0094067A" w:rsidP="007A1F34">
      <w:pPr>
        <w:pStyle w:val="48"/>
        <w:numPr>
          <w:ilvl w:val="0"/>
          <w:numId w:val="39"/>
        </w:numPr>
        <w:tabs>
          <w:tab w:val="right" w:pos="849"/>
        </w:tabs>
        <w:rPr>
          <w:rFonts w:hint="cs"/>
          <w:rtl/>
        </w:rPr>
      </w:pPr>
      <w:r w:rsidRPr="008C0FB5">
        <w:rPr>
          <w:rFonts w:hint="cs"/>
          <w:rtl/>
        </w:rPr>
        <w:t xml:space="preserve">ابن منظور، لسان العرب، ج1، إعداد وتصنيف: يوسف خياط، نديم </w:t>
      </w:r>
      <w:proofErr w:type="spellStart"/>
      <w:r w:rsidRPr="008C0FB5">
        <w:rPr>
          <w:rFonts w:hint="cs"/>
          <w:rtl/>
        </w:rPr>
        <w:t>المرعشي</w:t>
      </w:r>
      <w:proofErr w:type="spellEnd"/>
      <w:r w:rsidRPr="008C0FB5">
        <w:rPr>
          <w:rFonts w:hint="cs"/>
          <w:rtl/>
        </w:rPr>
        <w:t>، دار لسان العرب، بيروت، بدون سنة طبع.</w:t>
      </w:r>
    </w:p>
    <w:p w14:paraId="48D797BA" w14:textId="77777777" w:rsidR="0094067A" w:rsidRPr="008C0FB5" w:rsidRDefault="0094067A" w:rsidP="007A1F34">
      <w:pPr>
        <w:pStyle w:val="48"/>
        <w:numPr>
          <w:ilvl w:val="0"/>
          <w:numId w:val="39"/>
        </w:numPr>
        <w:tabs>
          <w:tab w:val="right" w:pos="849"/>
        </w:tabs>
        <w:rPr>
          <w:rFonts w:hint="cs"/>
          <w:rtl/>
        </w:rPr>
      </w:pPr>
      <w:proofErr w:type="spellStart"/>
      <w:r w:rsidRPr="008C0FB5">
        <w:rPr>
          <w:rFonts w:hint="cs"/>
          <w:rtl/>
        </w:rPr>
        <w:t>الفيروزآبادي</w:t>
      </w:r>
      <w:proofErr w:type="spellEnd"/>
      <w:r w:rsidRPr="008C0FB5">
        <w:rPr>
          <w:rFonts w:hint="cs"/>
          <w:rtl/>
        </w:rPr>
        <w:t>، القاموس المحيط، ج1، طبع دار الفكر العربي، 1978م.</w:t>
      </w:r>
    </w:p>
    <w:p w14:paraId="11E49995" w14:textId="77777777" w:rsidR="0094067A" w:rsidRPr="008C0FB5" w:rsidRDefault="0094067A" w:rsidP="008E7BCC">
      <w:pPr>
        <w:pStyle w:val="48"/>
        <w:rPr>
          <w:rFonts w:hint="cs"/>
          <w:b/>
          <w:bCs/>
          <w:rtl/>
        </w:rPr>
      </w:pPr>
      <w:r w:rsidRPr="008C0FB5">
        <w:rPr>
          <w:rFonts w:hint="cs"/>
          <w:b/>
          <w:bCs/>
          <w:rtl/>
        </w:rPr>
        <w:t>-الرسائل الجامعية:</w:t>
      </w:r>
    </w:p>
    <w:p w14:paraId="09E4A8E6"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 xml:space="preserve">حسين عبد الله الكلابي، النظام العام العقدي، رسالة ماجستير قدمت إلى مجلس كلية النهرين للحقوق، جامعة </w:t>
      </w:r>
      <w:proofErr w:type="gramStart"/>
      <w:r w:rsidRPr="008C0FB5">
        <w:rPr>
          <w:rFonts w:hint="cs"/>
          <w:rtl/>
        </w:rPr>
        <w:t>النهرين ،</w:t>
      </w:r>
      <w:proofErr w:type="gramEnd"/>
      <w:r w:rsidRPr="008C0FB5">
        <w:rPr>
          <w:rFonts w:hint="cs"/>
          <w:rtl/>
        </w:rPr>
        <w:t xml:space="preserve"> 2002م.</w:t>
      </w:r>
    </w:p>
    <w:p w14:paraId="243022C6"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 xml:space="preserve">سعد حسين عبد ملحم </w:t>
      </w:r>
      <w:proofErr w:type="spellStart"/>
      <w:r w:rsidRPr="008C0FB5">
        <w:rPr>
          <w:rFonts w:hint="cs"/>
          <w:rtl/>
        </w:rPr>
        <w:t>الحلبوسي</w:t>
      </w:r>
      <w:proofErr w:type="spellEnd"/>
      <w:r w:rsidRPr="008C0FB5">
        <w:rPr>
          <w:rFonts w:hint="cs"/>
          <w:rtl/>
        </w:rPr>
        <w:t>، الصورية في التصرفات القانونية، أطروحة دكتوراه قدمت إلى مجلس كلية النهرين للحقوق، جامعة النهرين، 2000م.</w:t>
      </w:r>
    </w:p>
    <w:p w14:paraId="65B2C7A4"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عدنان الجميلي، قاعدة سد الذرائع وتطبيقاتها في الشريعة الإسلامية والقانون، رسالة ماجستير قدمت إلى مجلس كلية النهرين للحقوق، جامعة النهرين، 1992م.</w:t>
      </w:r>
    </w:p>
    <w:p w14:paraId="16A1C3E2"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 xml:space="preserve">علاء حسين </w:t>
      </w:r>
      <w:proofErr w:type="spellStart"/>
      <w:r w:rsidRPr="008C0FB5">
        <w:rPr>
          <w:rFonts w:hint="cs"/>
          <w:rtl/>
        </w:rPr>
        <w:t>الجوعاني</w:t>
      </w:r>
      <w:proofErr w:type="spellEnd"/>
      <w:r w:rsidRPr="008C0FB5">
        <w:rPr>
          <w:rFonts w:hint="cs"/>
          <w:rtl/>
        </w:rPr>
        <w:t>، مبدأ حسن النية في تكوين العقود، رسالة ماجستير قدمت إلى مجلس كلية النهرين للحقوق، جامعة النهرين، 2002م.</w:t>
      </w:r>
    </w:p>
    <w:p w14:paraId="56E47EC1"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علي أحمد صالح المهداوي، نظرية السبب، رسالة ماجستير قدمت إلى مجلس كلية القانون، جامعة بغداد، 1992م.</w:t>
      </w:r>
    </w:p>
    <w:p w14:paraId="16DFA129" w14:textId="77777777" w:rsidR="0094067A" w:rsidRPr="008C0FB5" w:rsidRDefault="005947C9" w:rsidP="005947C9">
      <w:pPr>
        <w:pStyle w:val="48"/>
        <w:tabs>
          <w:tab w:val="right" w:pos="707"/>
        </w:tabs>
        <w:rPr>
          <w:rFonts w:hint="cs"/>
          <w:rtl/>
        </w:rPr>
      </w:pPr>
      <w:r w:rsidRPr="008C0FB5">
        <w:rPr>
          <w:rFonts w:hint="cs"/>
          <w:rtl/>
        </w:rPr>
        <w:lastRenderedPageBreak/>
        <w:t xml:space="preserve">- </w:t>
      </w:r>
      <w:r w:rsidR="0094067A" w:rsidRPr="008C0FB5">
        <w:rPr>
          <w:rFonts w:hint="cs"/>
          <w:rtl/>
        </w:rPr>
        <w:t>البحوث والمقالات:</w:t>
      </w:r>
    </w:p>
    <w:p w14:paraId="1C365CB7"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إسماعيل علم الدين، نحو مفهوم جديد للتصرف المجرد، بحث منشور في مجلة إدارة قضايا الحكومة، ع1، س20، مارس، 1976م.</w:t>
      </w:r>
    </w:p>
    <w:p w14:paraId="6C8FA282"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بشرى الجندي، نظرية السبب ونظرية الباعث، بحث منشور في مجلة المحاماة، س42، ع4، ديسمبر 1961م.</w:t>
      </w:r>
    </w:p>
    <w:p w14:paraId="5D5A40BF"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بشرى الجندي، وضع نظرية السبب في القانون الاشتراكي، بحث منشور في مجلة إدارة قضايا الحكومة، س1، ع3، أيلول 1966م.</w:t>
      </w:r>
    </w:p>
    <w:p w14:paraId="6A72D266"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ثروت أنيس الأسيوطي، نشأة المذاهب الفلسفية وتطورها، بحث منشور في مجلة العلوم القانونية والاقتصادية، ع2، 1966م.</w:t>
      </w:r>
    </w:p>
    <w:p w14:paraId="51FE8C4A"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جميل الشرقاوي، طبيعة المحل والسبب في التصرف القانوني، بحث منشور في مجلة القانون والاقتصاد، ع2، س34، 1964م.</w:t>
      </w:r>
    </w:p>
    <w:p w14:paraId="2D58C8AD"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 xml:space="preserve">حمد </w:t>
      </w:r>
      <w:proofErr w:type="spellStart"/>
      <w:r w:rsidRPr="008C0FB5">
        <w:rPr>
          <w:rFonts w:hint="cs"/>
          <w:rtl/>
        </w:rPr>
        <w:t>الزجيلي</w:t>
      </w:r>
      <w:proofErr w:type="spellEnd"/>
      <w:r w:rsidRPr="008C0FB5">
        <w:rPr>
          <w:rFonts w:hint="cs"/>
          <w:rtl/>
        </w:rPr>
        <w:t>، مقاصد الشريعة، بحث منشور في مجلة كلية الشرعة والدراسات الإسلامية، ع6، س6، مكة المكرمة، 1403ه.</w:t>
      </w:r>
    </w:p>
    <w:p w14:paraId="42176DDD"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عبد الهادي العطافي، صور من طرق التعبير عن الإرادة في القانون الانكليزي والتقنين السوداني، بحث منشور في مجلة القانون والاقتصاد، ع1، س44، مارس، 1974م.</w:t>
      </w:r>
    </w:p>
    <w:p w14:paraId="17DE8909"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 xml:space="preserve">مجيد حميد </w:t>
      </w:r>
      <w:proofErr w:type="spellStart"/>
      <w:r w:rsidRPr="008C0FB5">
        <w:rPr>
          <w:rFonts w:hint="cs"/>
          <w:rtl/>
        </w:rPr>
        <w:t>العنبكي</w:t>
      </w:r>
      <w:proofErr w:type="spellEnd"/>
      <w:r w:rsidRPr="008C0FB5">
        <w:rPr>
          <w:rFonts w:hint="cs"/>
          <w:rtl/>
        </w:rPr>
        <w:t>، إنشاء العقد في القانون الانكليزي، مجلة جامعة النهرين، الحقوق، المجلد الثالث، ع3، تموز، 1999م.</w:t>
      </w:r>
    </w:p>
    <w:p w14:paraId="4F3BD843"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محمد أبو زهرة، إساءة استعمال الحق، مقال في مجلة إدارة قضايا الحكومة، س5، ع3.</w:t>
      </w:r>
    </w:p>
    <w:p w14:paraId="45E472CF"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محمد زكي عبد البر، مبدأ سلطان الإرادة في الفقه الإسلامي، بحث منشور في مجلة إدارة قضايا الحكومة، ع1، س8، 1964م.</w:t>
      </w:r>
    </w:p>
    <w:p w14:paraId="68153B53"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محمد يحيى المحاسنة، الغلط في الباعث في القانون المدني الأردني، بحث منشور في مجلة العلوم القانونية، مجلد14، ع1 و2، 1999م.</w:t>
      </w:r>
    </w:p>
    <w:p w14:paraId="1191CDF9"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 xml:space="preserve">نزيه صادق المهدي، محاولة للتوفيق بين المذهبين الشخصي والموضوعي في الالتزام، بحث منشور في مجلة القانون والاقتصاد، ع1 </w:t>
      </w:r>
      <w:r w:rsidRPr="008C0FB5">
        <w:rPr>
          <w:rFonts w:ascii="Times New Roman" w:hAnsi="Times New Roman" w:cs="Times New Roman" w:hint="cs"/>
          <w:rtl/>
        </w:rPr>
        <w:t>–</w:t>
      </w:r>
      <w:r w:rsidRPr="008C0FB5">
        <w:rPr>
          <w:rFonts w:hint="cs"/>
          <w:rtl/>
        </w:rPr>
        <w:t xml:space="preserve"> 4</w:t>
      </w:r>
      <w:r w:rsidRPr="008C0FB5">
        <w:rPr>
          <w:rFonts w:ascii="Lotus Linotype" w:hAnsi="Lotus Linotype" w:hint="cs"/>
          <w:rtl/>
        </w:rPr>
        <w:t>،</w:t>
      </w:r>
      <w:r w:rsidRPr="008C0FB5">
        <w:rPr>
          <w:rFonts w:hint="cs"/>
          <w:rtl/>
        </w:rPr>
        <w:t xml:space="preserve"> 1999</w:t>
      </w:r>
      <w:r w:rsidRPr="008C0FB5">
        <w:rPr>
          <w:rFonts w:ascii="Lotus Linotype" w:hAnsi="Lotus Linotype" w:hint="cs"/>
          <w:rtl/>
        </w:rPr>
        <w:t>م</w:t>
      </w:r>
      <w:r w:rsidRPr="008C0FB5">
        <w:rPr>
          <w:rFonts w:hint="cs"/>
          <w:rtl/>
        </w:rPr>
        <w:t>.</w:t>
      </w:r>
    </w:p>
    <w:p w14:paraId="219795BC" w14:textId="77777777" w:rsidR="0094067A" w:rsidRPr="008C0FB5" w:rsidRDefault="0094067A" w:rsidP="007A1F34">
      <w:pPr>
        <w:pStyle w:val="48"/>
        <w:numPr>
          <w:ilvl w:val="0"/>
          <w:numId w:val="40"/>
        </w:numPr>
        <w:tabs>
          <w:tab w:val="right" w:pos="707"/>
        </w:tabs>
        <w:ind w:left="567" w:hanging="567"/>
        <w:rPr>
          <w:rFonts w:hint="cs"/>
          <w:rtl/>
        </w:rPr>
      </w:pPr>
      <w:r w:rsidRPr="008C0FB5">
        <w:rPr>
          <w:rFonts w:hint="cs"/>
          <w:rtl/>
        </w:rPr>
        <w:t xml:space="preserve">وهبة </w:t>
      </w:r>
      <w:proofErr w:type="spellStart"/>
      <w:r w:rsidRPr="008C0FB5">
        <w:rPr>
          <w:rFonts w:hint="cs"/>
          <w:rtl/>
        </w:rPr>
        <w:t>الزحيلي</w:t>
      </w:r>
      <w:proofErr w:type="spellEnd"/>
      <w:r w:rsidRPr="008C0FB5">
        <w:rPr>
          <w:rFonts w:hint="cs"/>
          <w:rtl/>
        </w:rPr>
        <w:t>، نظرية الباعث في العقود في الفقه والأصول، مجلة الشريعة والقانون، ع4، جامعة الإمارات العربية، 1988م.</w:t>
      </w:r>
    </w:p>
    <w:p w14:paraId="4F5823B0" w14:textId="77777777" w:rsidR="0094067A" w:rsidRPr="008C0FB5" w:rsidRDefault="0094067A" w:rsidP="008E7BCC">
      <w:pPr>
        <w:pStyle w:val="48"/>
        <w:rPr>
          <w:rFonts w:hint="cs"/>
          <w:rtl/>
        </w:rPr>
      </w:pPr>
      <w:r w:rsidRPr="008C0FB5">
        <w:rPr>
          <w:rFonts w:hint="cs"/>
          <w:rtl/>
        </w:rPr>
        <w:t>- المجاميع والمجلات:</w:t>
      </w:r>
    </w:p>
    <w:p w14:paraId="035E0157" w14:textId="77777777" w:rsidR="0094067A" w:rsidRPr="008C0FB5" w:rsidRDefault="0094067A" w:rsidP="007A1F34">
      <w:pPr>
        <w:pStyle w:val="48"/>
        <w:numPr>
          <w:ilvl w:val="0"/>
          <w:numId w:val="41"/>
        </w:numPr>
        <w:rPr>
          <w:rFonts w:hint="cs"/>
          <w:rtl/>
        </w:rPr>
      </w:pPr>
      <w:r w:rsidRPr="008C0FB5">
        <w:rPr>
          <w:rFonts w:hint="cs"/>
          <w:rtl/>
        </w:rPr>
        <w:t>مجموعة الأعمال التحضيرية للقانون المدني المصري، صادرة عن وزارة العدل المصرية، مطابع مدور، القاهرة، 1950م.</w:t>
      </w:r>
    </w:p>
    <w:p w14:paraId="48661762" w14:textId="77777777" w:rsidR="0094067A" w:rsidRPr="008C0FB5" w:rsidRDefault="0094067A" w:rsidP="007A1F34">
      <w:pPr>
        <w:pStyle w:val="48"/>
        <w:numPr>
          <w:ilvl w:val="0"/>
          <w:numId w:val="41"/>
        </w:numPr>
        <w:rPr>
          <w:rFonts w:hint="cs"/>
          <w:rtl/>
        </w:rPr>
      </w:pPr>
      <w:r w:rsidRPr="008C0FB5">
        <w:rPr>
          <w:rFonts w:hint="cs"/>
          <w:rtl/>
        </w:rPr>
        <w:t>المذكرة الإيضاحية للقانون المدني الأردني، ج1، نقابة المحامين الأردنيين، الأردن.</w:t>
      </w:r>
    </w:p>
    <w:p w14:paraId="0F9BEDF6" w14:textId="77777777" w:rsidR="0094067A" w:rsidRPr="008C0FB5" w:rsidRDefault="0094067A" w:rsidP="007A1F34">
      <w:pPr>
        <w:pStyle w:val="48"/>
        <w:numPr>
          <w:ilvl w:val="0"/>
          <w:numId w:val="41"/>
        </w:numPr>
        <w:rPr>
          <w:rFonts w:hint="cs"/>
          <w:rtl/>
        </w:rPr>
      </w:pPr>
      <w:r w:rsidRPr="008C0FB5">
        <w:rPr>
          <w:rFonts w:hint="cs"/>
          <w:rtl/>
        </w:rPr>
        <w:t>مجلة اضاء، ع1، س23، نقابة المحامين، مطبعة العاني، بغداد، 1968م.</w:t>
      </w:r>
    </w:p>
    <w:p w14:paraId="6C04A44C" w14:textId="77777777" w:rsidR="0094067A" w:rsidRPr="008C0FB5" w:rsidRDefault="0094067A" w:rsidP="007A1F34">
      <w:pPr>
        <w:pStyle w:val="48"/>
        <w:numPr>
          <w:ilvl w:val="0"/>
          <w:numId w:val="41"/>
        </w:numPr>
      </w:pPr>
      <w:r w:rsidRPr="008C0FB5">
        <w:rPr>
          <w:rFonts w:hint="cs"/>
          <w:rtl/>
        </w:rPr>
        <w:t xml:space="preserve">اسعد فاضل </w:t>
      </w:r>
      <w:proofErr w:type="gramStart"/>
      <w:r w:rsidRPr="008C0FB5">
        <w:rPr>
          <w:rFonts w:hint="cs"/>
          <w:rtl/>
        </w:rPr>
        <w:t>منديل ,</w:t>
      </w:r>
      <w:proofErr w:type="gramEnd"/>
      <w:r w:rsidRPr="008C0FB5">
        <w:rPr>
          <w:rFonts w:hint="cs"/>
          <w:rtl/>
        </w:rPr>
        <w:t xml:space="preserve"> اثر الباعث غير المشروع على الالتزامات العقدية / دراسة مقارنة , بحث منشور مجلة كربلاء العلمية , المجلد الرابع , العدد 2ح سنة حزيران 2006.</w:t>
      </w:r>
    </w:p>
    <w:p w14:paraId="091FDEB7" w14:textId="77777777" w:rsidR="0094067A" w:rsidRPr="008C0FB5" w:rsidRDefault="0094067A" w:rsidP="008E7BCC">
      <w:pPr>
        <w:pStyle w:val="48"/>
        <w:rPr>
          <w:rFonts w:hint="cs"/>
          <w:b/>
          <w:bCs/>
          <w:rtl/>
        </w:rPr>
      </w:pPr>
      <w:r w:rsidRPr="008C0FB5">
        <w:rPr>
          <w:rFonts w:hint="cs"/>
          <w:b/>
          <w:bCs/>
          <w:rtl/>
        </w:rPr>
        <w:t>- القوانين:</w:t>
      </w:r>
    </w:p>
    <w:p w14:paraId="26AFC38F" w14:textId="77777777" w:rsidR="0094067A" w:rsidRPr="008C0FB5" w:rsidRDefault="0094067A" w:rsidP="007A1F34">
      <w:pPr>
        <w:pStyle w:val="48"/>
        <w:numPr>
          <w:ilvl w:val="0"/>
          <w:numId w:val="42"/>
        </w:numPr>
        <w:rPr>
          <w:rFonts w:hint="cs"/>
          <w:rtl/>
        </w:rPr>
      </w:pPr>
      <w:r w:rsidRPr="008C0FB5">
        <w:rPr>
          <w:rFonts w:hint="cs"/>
          <w:rtl/>
        </w:rPr>
        <w:t>قانون الالتزامات والعقود المغربي الصادر 1913م.</w:t>
      </w:r>
    </w:p>
    <w:p w14:paraId="3FEE1DD1" w14:textId="77777777" w:rsidR="0094067A" w:rsidRPr="008C0FB5" w:rsidRDefault="0094067A" w:rsidP="007A1F34">
      <w:pPr>
        <w:pStyle w:val="48"/>
        <w:numPr>
          <w:ilvl w:val="0"/>
          <w:numId w:val="42"/>
        </w:numPr>
        <w:rPr>
          <w:rFonts w:hint="cs"/>
          <w:rtl/>
        </w:rPr>
      </w:pPr>
      <w:r w:rsidRPr="008C0FB5">
        <w:rPr>
          <w:rFonts w:hint="cs"/>
          <w:rtl/>
        </w:rPr>
        <w:lastRenderedPageBreak/>
        <w:t>قانون الموجبات والعقود اللبناني الصادر 1932م.</w:t>
      </w:r>
    </w:p>
    <w:p w14:paraId="2CFA9EBD" w14:textId="77777777" w:rsidR="0094067A" w:rsidRPr="008C0FB5" w:rsidRDefault="0094067A" w:rsidP="007A1F34">
      <w:pPr>
        <w:pStyle w:val="48"/>
        <w:numPr>
          <w:ilvl w:val="0"/>
          <w:numId w:val="42"/>
        </w:numPr>
        <w:rPr>
          <w:rFonts w:hint="cs"/>
          <w:rtl/>
        </w:rPr>
      </w:pPr>
      <w:r w:rsidRPr="008C0FB5">
        <w:rPr>
          <w:rFonts w:hint="cs"/>
          <w:rtl/>
        </w:rPr>
        <w:t>القانون المدني المصري رقم 31 لسنة 1948م.</w:t>
      </w:r>
    </w:p>
    <w:p w14:paraId="25A87AE6" w14:textId="77777777" w:rsidR="0094067A" w:rsidRPr="008C0FB5" w:rsidRDefault="0094067A" w:rsidP="007A1F34">
      <w:pPr>
        <w:pStyle w:val="48"/>
        <w:numPr>
          <w:ilvl w:val="0"/>
          <w:numId w:val="42"/>
        </w:numPr>
        <w:rPr>
          <w:rFonts w:hint="cs"/>
          <w:rtl/>
        </w:rPr>
      </w:pPr>
      <w:r w:rsidRPr="008C0FB5">
        <w:rPr>
          <w:rFonts w:hint="cs"/>
          <w:rtl/>
        </w:rPr>
        <w:t>القانون المدني السوري الصادر 1949م.</w:t>
      </w:r>
    </w:p>
    <w:p w14:paraId="4B7F92E9" w14:textId="77777777" w:rsidR="0094067A" w:rsidRPr="008C0FB5" w:rsidRDefault="0094067A" w:rsidP="007A1F34">
      <w:pPr>
        <w:pStyle w:val="48"/>
        <w:numPr>
          <w:ilvl w:val="0"/>
          <w:numId w:val="42"/>
        </w:numPr>
        <w:rPr>
          <w:rFonts w:hint="cs"/>
          <w:rtl/>
        </w:rPr>
      </w:pPr>
      <w:r w:rsidRPr="008C0FB5">
        <w:rPr>
          <w:rFonts w:hint="cs"/>
          <w:rtl/>
        </w:rPr>
        <w:t>القانون المدني العراقي رقم 40 لسنة 1951م.</w:t>
      </w:r>
    </w:p>
    <w:p w14:paraId="7833C7D0" w14:textId="77777777" w:rsidR="0094067A" w:rsidRPr="008C0FB5" w:rsidRDefault="0094067A" w:rsidP="007A1F34">
      <w:pPr>
        <w:pStyle w:val="48"/>
        <w:numPr>
          <w:ilvl w:val="0"/>
          <w:numId w:val="42"/>
        </w:numPr>
        <w:rPr>
          <w:rFonts w:hint="cs"/>
          <w:rtl/>
        </w:rPr>
      </w:pPr>
      <w:r w:rsidRPr="008C0FB5">
        <w:rPr>
          <w:rFonts w:hint="cs"/>
          <w:rtl/>
        </w:rPr>
        <w:t>القانون المدني الليبي الصادر 1952م.</w:t>
      </w:r>
    </w:p>
    <w:p w14:paraId="7585683A" w14:textId="77777777" w:rsidR="0094067A" w:rsidRPr="008C0FB5" w:rsidRDefault="0094067A" w:rsidP="007A1F34">
      <w:pPr>
        <w:pStyle w:val="48"/>
        <w:numPr>
          <w:ilvl w:val="0"/>
          <w:numId w:val="42"/>
        </w:numPr>
        <w:rPr>
          <w:rFonts w:hint="cs"/>
          <w:rtl/>
        </w:rPr>
      </w:pPr>
      <w:r w:rsidRPr="008C0FB5">
        <w:rPr>
          <w:rFonts w:hint="cs"/>
          <w:rtl/>
        </w:rPr>
        <w:t>القانون المدني الجزائري لسنة 1975م.</w:t>
      </w:r>
    </w:p>
    <w:p w14:paraId="19FC680B" w14:textId="77777777" w:rsidR="0094067A" w:rsidRPr="008C0FB5" w:rsidRDefault="0094067A" w:rsidP="007A1F34">
      <w:pPr>
        <w:pStyle w:val="48"/>
        <w:numPr>
          <w:ilvl w:val="0"/>
          <w:numId w:val="42"/>
        </w:numPr>
        <w:rPr>
          <w:rFonts w:hint="cs"/>
          <w:rtl/>
        </w:rPr>
      </w:pPr>
      <w:r w:rsidRPr="008C0FB5">
        <w:rPr>
          <w:rFonts w:hint="cs"/>
          <w:rtl/>
        </w:rPr>
        <w:t>القانون المدني الأردني رقم 43 لسنة 1976م.</w:t>
      </w:r>
    </w:p>
    <w:p w14:paraId="033021ED" w14:textId="77777777" w:rsidR="0094067A" w:rsidRPr="008C0FB5" w:rsidRDefault="0094067A" w:rsidP="007A1F34">
      <w:pPr>
        <w:pStyle w:val="48"/>
        <w:numPr>
          <w:ilvl w:val="0"/>
          <w:numId w:val="42"/>
        </w:numPr>
        <w:rPr>
          <w:rFonts w:hint="cs"/>
          <w:rtl/>
        </w:rPr>
      </w:pPr>
      <w:r w:rsidRPr="008C0FB5">
        <w:rPr>
          <w:rFonts w:hint="cs"/>
          <w:rtl/>
        </w:rPr>
        <w:t>القانون المدني الكويتي رقم 67 لسنة 1980م.</w:t>
      </w:r>
    </w:p>
    <w:p w14:paraId="68922FDA" w14:textId="77777777" w:rsidR="0094067A" w:rsidRPr="008C0FB5" w:rsidRDefault="0094067A" w:rsidP="008E7BCC">
      <w:pPr>
        <w:pStyle w:val="48"/>
        <w:rPr>
          <w:rFonts w:hint="cs"/>
          <w:rtl/>
        </w:rPr>
      </w:pPr>
      <w:r w:rsidRPr="008C0FB5">
        <w:rPr>
          <w:rFonts w:hint="cs"/>
          <w:rtl/>
        </w:rPr>
        <w:t>ثانياً: المصادر باللغة الأجنبية:</w:t>
      </w:r>
    </w:p>
    <w:p w14:paraId="4B42A539" w14:textId="77777777" w:rsidR="0094067A" w:rsidRPr="008C0FB5" w:rsidRDefault="0094067A" w:rsidP="008E7BCC">
      <w:pPr>
        <w:pStyle w:val="48"/>
        <w:rPr>
          <w:b/>
          <w:bCs/>
        </w:rPr>
      </w:pPr>
      <w:r w:rsidRPr="008C0FB5">
        <w:rPr>
          <w:rFonts w:hint="cs"/>
          <w:b/>
          <w:bCs/>
          <w:rtl/>
        </w:rPr>
        <w:t>- باللغة الانكليزية:</w:t>
      </w:r>
    </w:p>
    <w:p w14:paraId="56C9632F" w14:textId="77777777" w:rsidR="0094067A" w:rsidRPr="008C0FB5" w:rsidRDefault="0094067A" w:rsidP="007A1F34">
      <w:pPr>
        <w:pStyle w:val="48"/>
        <w:numPr>
          <w:ilvl w:val="0"/>
          <w:numId w:val="43"/>
        </w:numPr>
        <w:bidi w:val="0"/>
        <w:rPr>
          <w:rFonts w:ascii="Times New Roman" w:hAnsi="Times New Roman" w:cs="Times New Roman" w:hint="cs"/>
          <w:sz w:val="28"/>
          <w:szCs w:val="28"/>
          <w:rtl/>
          <w:lang w:val="pt-BR"/>
        </w:rPr>
      </w:pPr>
      <w:r w:rsidRPr="008C0FB5">
        <w:rPr>
          <w:rFonts w:ascii="Times New Roman" w:hAnsi="Times New Roman" w:cs="Times New Roman"/>
          <w:sz w:val="28"/>
          <w:szCs w:val="28"/>
          <w:lang w:val="pt-BR"/>
        </w:rPr>
        <w:t>Sammuel Willistion, Consideration in Bilateral contracts, in 27 Harvard law review.</w:t>
      </w:r>
    </w:p>
    <w:p w14:paraId="06EED5FF" w14:textId="77777777" w:rsidR="0094067A" w:rsidRPr="008C0FB5" w:rsidRDefault="0094067A" w:rsidP="007A1F34">
      <w:pPr>
        <w:pStyle w:val="48"/>
        <w:numPr>
          <w:ilvl w:val="0"/>
          <w:numId w:val="43"/>
        </w:numPr>
        <w:bidi w:val="0"/>
        <w:rPr>
          <w:rFonts w:ascii="Times New Roman" w:hAnsi="Times New Roman" w:cs="Times New Roman"/>
          <w:sz w:val="28"/>
          <w:szCs w:val="28"/>
          <w:lang w:val="pt-BR"/>
        </w:rPr>
      </w:pPr>
      <w:r w:rsidRPr="008C0FB5">
        <w:rPr>
          <w:rFonts w:ascii="Times New Roman" w:hAnsi="Times New Roman" w:cs="Times New Roman"/>
          <w:sz w:val="28"/>
          <w:szCs w:val="28"/>
          <w:lang w:val="pt-BR"/>
        </w:rPr>
        <w:t>Sir pollock's, principles of contact thirteen edition, London, 1975.</w:t>
      </w:r>
    </w:p>
    <w:p w14:paraId="13945BE6" w14:textId="77777777" w:rsidR="0094067A" w:rsidRPr="008C0FB5" w:rsidRDefault="0094067A" w:rsidP="007A1F34">
      <w:pPr>
        <w:pStyle w:val="48"/>
        <w:numPr>
          <w:ilvl w:val="0"/>
          <w:numId w:val="43"/>
        </w:numPr>
        <w:bidi w:val="0"/>
        <w:rPr>
          <w:rFonts w:ascii="Times New Roman" w:hAnsi="Times New Roman" w:cs="Times New Roman"/>
          <w:sz w:val="28"/>
          <w:szCs w:val="28"/>
          <w:lang w:val="pt-BR"/>
        </w:rPr>
      </w:pPr>
      <w:r w:rsidRPr="008C0FB5">
        <w:rPr>
          <w:rFonts w:ascii="Times New Roman" w:hAnsi="Times New Roman" w:cs="Times New Roman"/>
          <w:sz w:val="28"/>
          <w:szCs w:val="28"/>
          <w:lang w:val="pt-BR"/>
        </w:rPr>
        <w:t>Anson's law of contract twenty third edition, by A. G. gue, Oxford, 1971.</w:t>
      </w:r>
    </w:p>
    <w:p w14:paraId="3D964C3D" w14:textId="77777777" w:rsidR="0094067A" w:rsidRPr="008C0FB5" w:rsidRDefault="0094067A" w:rsidP="008E7BCC">
      <w:pPr>
        <w:pStyle w:val="48"/>
        <w:bidi w:val="0"/>
        <w:rPr>
          <w:rFonts w:ascii="Times New Roman" w:hAnsi="Times New Roman" w:cs="Times New Roman"/>
          <w:rtl/>
          <w:lang w:val="pt-BR"/>
        </w:rPr>
        <w:sectPr w:rsidR="0094067A" w:rsidRPr="008C0FB5" w:rsidSect="0094067A">
          <w:headerReference w:type="default" r:id="rId26"/>
          <w:footnotePr>
            <w:numRestart w:val="eachPage"/>
          </w:footnotePr>
          <w:type w:val="oddPage"/>
          <w:pgSz w:w="11906" w:h="16838" w:code="9"/>
          <w:pgMar w:top="1701" w:right="1701" w:bottom="1701" w:left="1418" w:header="709" w:footer="1418" w:gutter="0"/>
          <w:cols w:space="708"/>
          <w:titlePg/>
          <w:bidi/>
          <w:rtlGutter/>
          <w:docGrid w:linePitch="360"/>
        </w:sectPr>
      </w:pPr>
    </w:p>
    <w:p w14:paraId="49F79727" w14:textId="77777777" w:rsidR="0094067A" w:rsidRPr="008C0FB5" w:rsidRDefault="0094067A" w:rsidP="0094067A">
      <w:pPr>
        <w:pStyle w:val="af1"/>
        <w:widowControl w:val="0"/>
        <w:rPr>
          <w:rtl/>
        </w:rPr>
      </w:pPr>
    </w:p>
    <w:p w14:paraId="3A6E8896" w14:textId="77777777" w:rsidR="0094067A" w:rsidRPr="008C0FB5" w:rsidRDefault="0094067A" w:rsidP="0094067A">
      <w:pPr>
        <w:pStyle w:val="af1"/>
        <w:widowControl w:val="0"/>
        <w:bidi w:val="0"/>
        <w:rPr>
          <w:b/>
          <w:bCs/>
        </w:rPr>
      </w:pPr>
      <w:r w:rsidRPr="008C0FB5">
        <w:rPr>
          <w:b/>
          <w:bCs/>
        </w:rPr>
        <w:t>Abstract</w:t>
      </w:r>
    </w:p>
    <w:p w14:paraId="3D7ABF07" w14:textId="77777777" w:rsidR="0094067A" w:rsidRPr="008C0FB5" w:rsidRDefault="0094067A" w:rsidP="0094067A">
      <w:pPr>
        <w:pStyle w:val="af1"/>
        <w:widowControl w:val="0"/>
        <w:bidi w:val="0"/>
      </w:pPr>
    </w:p>
    <w:p w14:paraId="28FF55E6" w14:textId="77777777" w:rsidR="0094067A" w:rsidRPr="008C0FB5" w:rsidRDefault="00202833" w:rsidP="00202833">
      <w:pPr>
        <w:pStyle w:val="ab"/>
        <w:bidi w:val="0"/>
        <w:rPr>
          <w:rFonts w:ascii="NoorZar" w:hAnsi="NoorZar" w:cs="NoorZar"/>
        </w:rPr>
      </w:pPr>
      <w:r w:rsidRPr="008C0FB5">
        <w:rPr>
          <w:rFonts w:ascii="NoorZar" w:hAnsi="NoorZar" w:cs="NoorZar"/>
        </w:rPr>
        <w:t xml:space="preserve">The Theory of </w:t>
      </w:r>
      <w:r w:rsidR="0094067A" w:rsidRPr="008C0FB5">
        <w:rPr>
          <w:rFonts w:ascii="NoorZar" w:hAnsi="NoorZar" w:cs="NoorZar"/>
        </w:rPr>
        <w:t>Cause</w:t>
      </w:r>
    </w:p>
    <w:p w14:paraId="668F10AD" w14:textId="77777777" w:rsidR="0094067A" w:rsidRPr="008C0FB5" w:rsidRDefault="0094067A" w:rsidP="00202833">
      <w:pPr>
        <w:pStyle w:val="ab"/>
        <w:bidi w:val="0"/>
        <w:rPr>
          <w:rFonts w:ascii="NoorZar" w:hAnsi="NoorZar" w:cs="NoorZar"/>
        </w:rPr>
      </w:pPr>
      <w:r w:rsidRPr="008C0FB5">
        <w:rPr>
          <w:rFonts w:ascii="NoorZar" w:hAnsi="NoorZar" w:cs="NoorZar"/>
        </w:rPr>
        <w:t>(The subjective theory of cause)</w:t>
      </w:r>
    </w:p>
    <w:p w14:paraId="197F9890" w14:textId="77777777" w:rsidR="0094067A" w:rsidRPr="008C0FB5" w:rsidRDefault="0094067A" w:rsidP="00202833">
      <w:pPr>
        <w:pStyle w:val="ab"/>
        <w:bidi w:val="0"/>
        <w:rPr>
          <w:rFonts w:ascii="NoorZar" w:hAnsi="NoorZar" w:cs="NoorZar"/>
        </w:rPr>
      </w:pPr>
      <w:r w:rsidRPr="008C0FB5">
        <w:rPr>
          <w:rFonts w:ascii="NoorZar" w:hAnsi="NoorZar" w:cs="NoorZar"/>
        </w:rPr>
        <w:t>Jurisprudence study, lawful, comparative</w:t>
      </w:r>
    </w:p>
    <w:p w14:paraId="4F0C8C60" w14:textId="77777777" w:rsidR="0094067A" w:rsidRPr="008C0FB5" w:rsidRDefault="0094067A" w:rsidP="00202833">
      <w:pPr>
        <w:pStyle w:val="ab"/>
        <w:bidi w:val="0"/>
        <w:rPr>
          <w:rFonts w:ascii="NoorZar" w:hAnsi="NoorZar" w:cs="NoorZar"/>
        </w:rPr>
      </w:pPr>
      <w:r w:rsidRPr="008C0FB5">
        <w:rPr>
          <w:rFonts w:ascii="NoorZar" w:hAnsi="NoorZar" w:cs="NoorZar"/>
        </w:rPr>
        <w:t>The subject "cause" is at the same time interesting and difficult to be understood because it is subjective and psychological matter. This subject is varied according to individuals and their bonds, but this is of no account in reducing its importance</w:t>
      </w:r>
      <w:proofErr w:type="gramStart"/>
      <w:r w:rsidRPr="008C0FB5">
        <w:rPr>
          <w:rFonts w:ascii="NoorZar" w:hAnsi="NoorZar" w:cs="NoorZar"/>
        </w:rPr>
        <w:t>, that is to say, it</w:t>
      </w:r>
      <w:proofErr w:type="gramEnd"/>
      <w:r w:rsidRPr="008C0FB5">
        <w:rPr>
          <w:rFonts w:ascii="NoorZar" w:hAnsi="NoorZar" w:cs="NoorZar"/>
        </w:rPr>
        <w:t xml:space="preserve"> is the active tool to repress the authority of individual's desire and keeping the upper benefits of the society</w:t>
      </w:r>
      <w:r w:rsidRPr="008C0FB5">
        <w:rPr>
          <w:rFonts w:ascii="NoorZar" w:hAnsi="NoorZar" w:cs="NoorZar"/>
          <w:rtl/>
        </w:rPr>
        <w:t>.</w:t>
      </w:r>
    </w:p>
    <w:p w14:paraId="2F722454" w14:textId="77777777" w:rsidR="0094067A" w:rsidRPr="008C0FB5" w:rsidRDefault="0094067A" w:rsidP="00202833">
      <w:pPr>
        <w:pStyle w:val="ab"/>
        <w:bidi w:val="0"/>
        <w:rPr>
          <w:rFonts w:ascii="NoorZar" w:hAnsi="NoorZar" w:cs="NoorZar"/>
        </w:rPr>
      </w:pPr>
      <w:r w:rsidRPr="008C0FB5">
        <w:rPr>
          <w:rFonts w:ascii="NoorZar" w:hAnsi="NoorZar" w:cs="NoorZar"/>
        </w:rPr>
        <w:t xml:space="preserve">In other words, this subject expresses the prominence of its entity, the assurance of its power and the steadfastness in confronting some </w:t>
      </w:r>
      <w:proofErr w:type="gramStart"/>
      <w:r w:rsidRPr="008C0FB5">
        <w:rPr>
          <w:rFonts w:ascii="NoorZar" w:hAnsi="NoorZar" w:cs="NoorZar"/>
        </w:rPr>
        <w:t>individuals</w:t>
      </w:r>
      <w:proofErr w:type="gramEnd"/>
      <w:r w:rsidRPr="008C0FB5">
        <w:rPr>
          <w:rFonts w:ascii="NoorZar" w:hAnsi="NoorZar" w:cs="NoorZar"/>
        </w:rPr>
        <w:t xml:space="preserve"> desires represented by bonds behind which they may threaten the bases of the society</w:t>
      </w:r>
      <w:r w:rsidRPr="008C0FB5">
        <w:rPr>
          <w:rFonts w:ascii="NoorZar" w:hAnsi="NoorZar" w:cs="NoorZar"/>
          <w:rtl/>
        </w:rPr>
        <w:t>.</w:t>
      </w:r>
    </w:p>
    <w:p w14:paraId="48E8821B" w14:textId="77777777" w:rsidR="0094067A" w:rsidRPr="008C0FB5" w:rsidRDefault="0094067A" w:rsidP="00202833">
      <w:pPr>
        <w:pStyle w:val="ab"/>
        <w:bidi w:val="0"/>
        <w:rPr>
          <w:rFonts w:ascii="NoorZar" w:hAnsi="NoorZar" w:cs="NoorZar"/>
        </w:rPr>
      </w:pPr>
      <w:r w:rsidRPr="008C0FB5">
        <w:rPr>
          <w:rFonts w:ascii="NoorZar" w:hAnsi="NoorZar" w:cs="NoorZar"/>
        </w:rPr>
        <w:t>Thereafter, the cause idea is an active tool in the hand of judgeship to prevent the individual whose desire is to spoil the benefits of the society</w:t>
      </w:r>
      <w:r w:rsidRPr="008C0FB5">
        <w:rPr>
          <w:rFonts w:ascii="NoorZar" w:hAnsi="NoorZar" w:cs="NoorZar"/>
          <w:rtl/>
        </w:rPr>
        <w:t xml:space="preserve">. </w:t>
      </w:r>
    </w:p>
    <w:p w14:paraId="1AD42C9D" w14:textId="77777777" w:rsidR="0094067A" w:rsidRPr="008C0FB5" w:rsidRDefault="0094067A" w:rsidP="00202833">
      <w:pPr>
        <w:pStyle w:val="ab"/>
        <w:bidi w:val="0"/>
        <w:rPr>
          <w:rFonts w:ascii="NoorZar" w:hAnsi="NoorZar" w:cs="NoorZar"/>
        </w:rPr>
      </w:pPr>
      <w:r w:rsidRPr="008C0FB5">
        <w:rPr>
          <w:rFonts w:ascii="NoorZar" w:hAnsi="NoorZar" w:cs="NoorZar"/>
        </w:rPr>
        <w:t>In view of the importance of this subject, this thesis is divided in to one chapter as prologue and two other parts</w:t>
      </w:r>
      <w:r w:rsidRPr="008C0FB5">
        <w:rPr>
          <w:rFonts w:ascii="NoorZar" w:hAnsi="NoorZar" w:cs="NoorZar"/>
          <w:rtl/>
        </w:rPr>
        <w:t>.</w:t>
      </w:r>
    </w:p>
    <w:p w14:paraId="58C03E9A" w14:textId="77777777" w:rsidR="0094067A" w:rsidRPr="008C0FB5" w:rsidRDefault="0094067A" w:rsidP="00202833">
      <w:pPr>
        <w:pStyle w:val="ab"/>
        <w:bidi w:val="0"/>
        <w:rPr>
          <w:rFonts w:ascii="NoorZar" w:hAnsi="NoorZar" w:cs="NoorZar"/>
        </w:rPr>
      </w:pPr>
      <w:r w:rsidRPr="008C0FB5">
        <w:rPr>
          <w:rFonts w:ascii="NoorZar" w:hAnsi="NoorZar" w:cs="NoorZar"/>
        </w:rPr>
        <w:t xml:space="preserve">The prologue covers the commencement and the development of the cause theory generally. This prologue falls in to two sections, the first section deals with the commencement of the cause theory in Roman law and the church until Dome's era, the counselor whose theory is prevailing for a long time. The second section is devoted to </w:t>
      </w:r>
      <w:proofErr w:type="gramStart"/>
      <w:r w:rsidRPr="008C0FB5">
        <w:rPr>
          <w:rFonts w:ascii="NoorZar" w:hAnsi="NoorZar" w:cs="NoorZar"/>
        </w:rPr>
        <w:t>seek</w:t>
      </w:r>
      <w:proofErr w:type="gramEnd"/>
      <w:r w:rsidRPr="008C0FB5">
        <w:rPr>
          <w:rFonts w:ascii="NoorZar" w:hAnsi="NoorZar" w:cs="NoorZar"/>
        </w:rPr>
        <w:t xml:space="preserve"> the traditional theory against which remonstrance has been revealed by </w:t>
      </w:r>
      <w:proofErr w:type="spellStart"/>
      <w:r w:rsidRPr="008C0FB5">
        <w:rPr>
          <w:rFonts w:ascii="NoorZar" w:hAnsi="NoorZar" w:cs="NoorZar"/>
        </w:rPr>
        <w:t>Blaytool</w:t>
      </w:r>
      <w:proofErr w:type="spellEnd"/>
      <w:r w:rsidRPr="008C0FB5">
        <w:rPr>
          <w:rFonts w:ascii="NoorZar" w:hAnsi="NoorZar" w:cs="NoorZar"/>
        </w:rPr>
        <w:t xml:space="preserve">, the French counselor and </w:t>
      </w:r>
      <w:proofErr w:type="spellStart"/>
      <w:r w:rsidRPr="008C0FB5">
        <w:rPr>
          <w:rFonts w:ascii="NoorZar" w:hAnsi="NoorZar" w:cs="NoorZar"/>
        </w:rPr>
        <w:t>Kabitan's</w:t>
      </w:r>
      <w:proofErr w:type="spellEnd"/>
      <w:r w:rsidRPr="008C0FB5">
        <w:rPr>
          <w:rFonts w:ascii="NoorZar" w:hAnsi="NoorZar" w:cs="NoorZar"/>
        </w:rPr>
        <w:t xml:space="preserve"> defense, this section also shed light on the Islamic juries </w:t>
      </w:r>
      <w:r w:rsidRPr="008C0FB5">
        <w:rPr>
          <w:rFonts w:ascii="Times New Roman" w:hAnsi="Times New Roman" w:cs="Times New Roman"/>
        </w:rPr>
        <w:t>–</w:t>
      </w:r>
      <w:r w:rsidRPr="008C0FB5">
        <w:rPr>
          <w:rFonts w:ascii="NoorZar" w:hAnsi="NoorZar" w:cs="NoorZar"/>
        </w:rPr>
        <w:t xml:space="preserve"> prudence </w:t>
      </w:r>
      <w:r w:rsidRPr="008C0FB5">
        <w:rPr>
          <w:rFonts w:ascii="NoorZar" w:hAnsi="NoorZar" w:cs="NoorZar"/>
        </w:rPr>
        <w:lastRenderedPageBreak/>
        <w:t>towards the traditional theory</w:t>
      </w:r>
      <w:r w:rsidRPr="008C0FB5">
        <w:rPr>
          <w:rFonts w:ascii="NoorZar" w:hAnsi="NoorZar" w:cs="NoorZar"/>
          <w:rtl/>
        </w:rPr>
        <w:t xml:space="preserve">. </w:t>
      </w:r>
    </w:p>
    <w:p w14:paraId="622E834B" w14:textId="77777777" w:rsidR="0094067A" w:rsidRPr="008C0FB5" w:rsidRDefault="0094067A" w:rsidP="00202833">
      <w:pPr>
        <w:pStyle w:val="ab"/>
        <w:bidi w:val="0"/>
        <w:rPr>
          <w:rFonts w:ascii="NoorZar" w:hAnsi="NoorZar" w:cs="NoorZar"/>
        </w:rPr>
      </w:pPr>
      <w:r w:rsidRPr="008C0FB5">
        <w:rPr>
          <w:rFonts w:ascii="NoorZar" w:hAnsi="NoorZar" w:cs="NoorZar"/>
        </w:rPr>
        <w:t xml:space="preserve">As for part one, </w:t>
      </w:r>
      <w:proofErr w:type="gramStart"/>
      <w:r w:rsidRPr="008C0FB5">
        <w:rPr>
          <w:rFonts w:ascii="NoorZar" w:hAnsi="NoorZar" w:cs="NoorZar"/>
        </w:rPr>
        <w:t>it's</w:t>
      </w:r>
      <w:proofErr w:type="gramEnd"/>
      <w:r w:rsidRPr="008C0FB5">
        <w:rPr>
          <w:rFonts w:ascii="NoorZar" w:hAnsi="NoorZar" w:cs="NoorZar"/>
        </w:rPr>
        <w:t xml:space="preserve"> divided in to two chapters, chapter one deals with the identification of the cause conditions and properties which distinguish this theory from others, also it shows the relationship between this theory and the other theories</w:t>
      </w:r>
      <w:r w:rsidRPr="008C0FB5">
        <w:rPr>
          <w:rFonts w:ascii="NoorZar" w:hAnsi="NoorZar" w:cs="NoorZar"/>
          <w:rtl/>
        </w:rPr>
        <w:t>.</w:t>
      </w:r>
    </w:p>
    <w:p w14:paraId="2D6FBCEC" w14:textId="77777777" w:rsidR="0094067A" w:rsidRPr="008C0FB5" w:rsidRDefault="0094067A" w:rsidP="00202833">
      <w:pPr>
        <w:pStyle w:val="ab"/>
        <w:bidi w:val="0"/>
        <w:rPr>
          <w:rFonts w:ascii="NoorZar" w:hAnsi="NoorZar" w:cs="NoorZar"/>
        </w:rPr>
      </w:pPr>
      <w:r w:rsidRPr="008C0FB5">
        <w:rPr>
          <w:rFonts w:ascii="NoorZar" w:hAnsi="NoorZar" w:cs="NoorZar"/>
        </w:rPr>
        <w:t xml:space="preserve">Chapter two falls in to two sections, the first section is devoted to </w:t>
      </w:r>
      <w:proofErr w:type="gramStart"/>
      <w:r w:rsidRPr="008C0FB5">
        <w:rPr>
          <w:rFonts w:ascii="NoorZar" w:hAnsi="NoorZar" w:cs="NoorZar"/>
        </w:rPr>
        <w:t>discuss</w:t>
      </w:r>
      <w:proofErr w:type="gramEnd"/>
      <w:r w:rsidRPr="008C0FB5">
        <w:rPr>
          <w:rFonts w:ascii="NoorZar" w:hAnsi="NoorZar" w:cs="NoorZar"/>
        </w:rPr>
        <w:t xml:space="preserve"> the restrictions of this theory in an attempt to form affixed scale for this theory</w:t>
      </w:r>
      <w:r w:rsidRPr="008C0FB5">
        <w:rPr>
          <w:rFonts w:ascii="NoorZar" w:hAnsi="NoorZar" w:cs="NoorZar"/>
          <w:rtl/>
        </w:rPr>
        <w:t>.</w:t>
      </w:r>
    </w:p>
    <w:p w14:paraId="32AF7A0F" w14:textId="77777777" w:rsidR="0094067A" w:rsidRPr="008C0FB5" w:rsidRDefault="0094067A" w:rsidP="00202833">
      <w:pPr>
        <w:pStyle w:val="ab"/>
        <w:bidi w:val="0"/>
        <w:rPr>
          <w:rFonts w:ascii="NoorZar" w:hAnsi="NoorZar" w:cs="NoorZar"/>
        </w:rPr>
      </w:pPr>
      <w:r w:rsidRPr="008C0FB5">
        <w:rPr>
          <w:rFonts w:ascii="NoorZar" w:hAnsi="NoorZar" w:cs="NoorZar"/>
        </w:rPr>
        <w:t xml:space="preserve">The second section is devoted to </w:t>
      </w:r>
      <w:proofErr w:type="gramStart"/>
      <w:r w:rsidRPr="008C0FB5">
        <w:rPr>
          <w:rFonts w:ascii="NoorZar" w:hAnsi="NoorZar" w:cs="NoorZar"/>
        </w:rPr>
        <w:t>seek</w:t>
      </w:r>
      <w:proofErr w:type="gramEnd"/>
      <w:r w:rsidRPr="008C0FB5">
        <w:rPr>
          <w:rFonts w:ascii="NoorZar" w:hAnsi="NoorZar" w:cs="NoorZar"/>
        </w:rPr>
        <w:t xml:space="preserve"> the penalties that are resulted from the using of the illegal cause whether these penalties are related to this public benefit or concerns the private one</w:t>
      </w:r>
      <w:r w:rsidRPr="008C0FB5">
        <w:rPr>
          <w:rFonts w:ascii="NoorZar" w:hAnsi="NoorZar" w:cs="NoorZar"/>
          <w:rtl/>
        </w:rPr>
        <w:t>.</w:t>
      </w:r>
    </w:p>
    <w:p w14:paraId="10EA6080" w14:textId="77777777" w:rsidR="0094067A" w:rsidRPr="008C0FB5" w:rsidRDefault="0094067A" w:rsidP="00202833">
      <w:pPr>
        <w:pStyle w:val="ab"/>
        <w:bidi w:val="0"/>
        <w:rPr>
          <w:rFonts w:ascii="NoorZar" w:hAnsi="NoorZar" w:cs="NoorZar"/>
        </w:rPr>
      </w:pPr>
      <w:r w:rsidRPr="008C0FB5">
        <w:rPr>
          <w:rFonts w:ascii="NoorZar" w:hAnsi="NoorZar" w:cs="NoorZar"/>
        </w:rPr>
        <w:t xml:space="preserve">And as for part two, </w:t>
      </w:r>
      <w:proofErr w:type="gramStart"/>
      <w:r w:rsidRPr="008C0FB5">
        <w:rPr>
          <w:rFonts w:ascii="NoorZar" w:hAnsi="NoorZar" w:cs="NoorZar"/>
        </w:rPr>
        <w:t>it's</w:t>
      </w:r>
      <w:proofErr w:type="gramEnd"/>
      <w:r w:rsidRPr="008C0FB5">
        <w:rPr>
          <w:rFonts w:ascii="NoorZar" w:hAnsi="NoorZar" w:cs="NoorZar"/>
        </w:rPr>
        <w:t xml:space="preserve"> divided in to two chapters. Chapter one deals with the theory of cause in the Islamic jurisprudence, this is in the first section, the second section deals with the theory in the basic Islamic factions</w:t>
      </w:r>
      <w:r w:rsidRPr="008C0FB5">
        <w:rPr>
          <w:rFonts w:ascii="NoorZar" w:hAnsi="NoorZar" w:cs="NoorZar"/>
          <w:rtl/>
        </w:rPr>
        <w:t>.</w:t>
      </w:r>
    </w:p>
    <w:p w14:paraId="0A84DA2E" w14:textId="77777777" w:rsidR="0094067A" w:rsidRPr="008C0FB5" w:rsidRDefault="0094067A" w:rsidP="00202833">
      <w:pPr>
        <w:pStyle w:val="ab"/>
        <w:bidi w:val="0"/>
        <w:rPr>
          <w:rFonts w:ascii="NoorZar" w:hAnsi="NoorZar" w:cs="NoorZar"/>
        </w:rPr>
      </w:pPr>
      <w:r w:rsidRPr="008C0FB5">
        <w:rPr>
          <w:rFonts w:ascii="NoorZar" w:hAnsi="NoorZar" w:cs="NoorZar"/>
        </w:rPr>
        <w:t xml:space="preserve">Chapter two studies the Arabic and foreign laws, as for the foreign laws, it discusses the French laws only because it is the base </w:t>
      </w:r>
      <w:r w:rsidRPr="008C0FB5">
        <w:rPr>
          <w:rFonts w:ascii="Times New Roman" w:hAnsi="Times New Roman" w:cs="Times New Roman"/>
        </w:rPr>
        <w:t>–</w:t>
      </w:r>
      <w:r w:rsidRPr="008C0FB5">
        <w:rPr>
          <w:rFonts w:ascii="NoorZar" w:hAnsi="NoorZar" w:cs="NoorZar"/>
        </w:rPr>
        <w:t xml:space="preserve"> stone for the theory, it also studies the German law because it has special point of view, thus chapter two is divided in to three sections</w:t>
      </w:r>
      <w:r w:rsidRPr="008C0FB5">
        <w:rPr>
          <w:rFonts w:ascii="NoorZar" w:hAnsi="NoorZar" w:cs="NoorZar"/>
          <w:rtl/>
        </w:rPr>
        <w:t>.</w:t>
      </w:r>
    </w:p>
    <w:p w14:paraId="25B2DBB9" w14:textId="77777777" w:rsidR="0094067A" w:rsidRPr="008C0FB5" w:rsidRDefault="0094067A" w:rsidP="00202833">
      <w:pPr>
        <w:pStyle w:val="ab"/>
        <w:bidi w:val="0"/>
        <w:rPr>
          <w:rFonts w:ascii="NoorZar" w:hAnsi="NoorZar" w:cs="NoorZar"/>
        </w:rPr>
      </w:pPr>
      <w:r w:rsidRPr="008C0FB5">
        <w:rPr>
          <w:rFonts w:ascii="NoorZar" w:hAnsi="NoorZar" w:cs="NoorZar"/>
        </w:rPr>
        <w:t>The first section studies the Arabic law that takes advantage of this theory</w:t>
      </w:r>
      <w:r w:rsidRPr="008C0FB5">
        <w:rPr>
          <w:rFonts w:ascii="NoorZar" w:hAnsi="NoorZar" w:cs="NoorZar"/>
          <w:rtl/>
        </w:rPr>
        <w:t>.</w:t>
      </w:r>
    </w:p>
    <w:p w14:paraId="59A406D9" w14:textId="77777777" w:rsidR="0094067A" w:rsidRPr="008C0FB5" w:rsidRDefault="0094067A" w:rsidP="00202833">
      <w:pPr>
        <w:pStyle w:val="ab"/>
        <w:bidi w:val="0"/>
        <w:rPr>
          <w:rFonts w:ascii="NoorZar" w:hAnsi="NoorZar" w:cs="NoorZar"/>
        </w:rPr>
      </w:pPr>
      <w:r w:rsidRPr="008C0FB5">
        <w:rPr>
          <w:rFonts w:ascii="NoorZar" w:hAnsi="NoorZar" w:cs="NoorZar"/>
        </w:rPr>
        <w:t>The second section deals with the laws that neglect this theory and the third section shed light on the laws that mix between subjective theory and the objective one</w:t>
      </w:r>
      <w:r w:rsidRPr="008C0FB5">
        <w:rPr>
          <w:rFonts w:ascii="NoorZar" w:hAnsi="NoorZar" w:cs="NoorZar"/>
          <w:rtl/>
        </w:rPr>
        <w:t>.</w:t>
      </w:r>
    </w:p>
    <w:p w14:paraId="04A786FB" w14:textId="77777777" w:rsidR="0094067A" w:rsidRPr="008C0FB5" w:rsidRDefault="0094067A" w:rsidP="00202833">
      <w:pPr>
        <w:pStyle w:val="ab"/>
        <w:bidi w:val="0"/>
        <w:rPr>
          <w:rFonts w:ascii="NoorZar" w:hAnsi="NoorZar" w:cs="NoorZar"/>
        </w:rPr>
      </w:pPr>
      <w:r w:rsidRPr="008C0FB5">
        <w:rPr>
          <w:rFonts w:ascii="NoorZar" w:hAnsi="NoorZar" w:cs="NoorZar"/>
        </w:rPr>
        <w:t>Finally, this thesis is ended with a conclusion in which some proposals are declared.</w:t>
      </w:r>
    </w:p>
    <w:p w14:paraId="29F1FDFD" w14:textId="77777777" w:rsidR="0094067A" w:rsidRPr="008C0FB5" w:rsidRDefault="0094067A" w:rsidP="00607EEA">
      <w:pPr>
        <w:pStyle w:val="35"/>
        <w:jc w:val="center"/>
        <w:rPr>
          <w:rtl/>
        </w:rPr>
      </w:pPr>
      <w:r w:rsidRPr="008C0FB5">
        <w:rPr>
          <w:rtl/>
        </w:rPr>
        <w:br w:type="page"/>
      </w:r>
    </w:p>
    <w:p w14:paraId="43A98C3B" w14:textId="1B152426" w:rsidR="0094067A" w:rsidRPr="008C0FB5" w:rsidRDefault="007C3C34" w:rsidP="00607EEA">
      <w:pPr>
        <w:pStyle w:val="ac"/>
        <w:jc w:val="center"/>
        <w:rPr>
          <w:lang w:bidi="ar-AE"/>
        </w:rPr>
      </w:pPr>
      <w:r w:rsidRPr="008C0FB5">
        <w:rPr>
          <w:noProof/>
        </w:rPr>
        <w:lastRenderedPageBreak/>
        <mc:AlternateContent>
          <mc:Choice Requires="wps">
            <w:drawing>
              <wp:anchor distT="0" distB="0" distL="114300" distR="114300" simplePos="0" relativeHeight="251665920" behindDoc="0" locked="0" layoutInCell="1" allowOverlap="1" wp14:anchorId="7060E395" wp14:editId="0D5543C2">
                <wp:simplePos x="0" y="0"/>
                <wp:positionH relativeFrom="column">
                  <wp:posOffset>-83820</wp:posOffset>
                </wp:positionH>
                <wp:positionV relativeFrom="paragraph">
                  <wp:posOffset>107950</wp:posOffset>
                </wp:positionV>
                <wp:extent cx="5481955" cy="8551545"/>
                <wp:effectExtent l="0" t="0" r="4445" b="1905"/>
                <wp:wrapNone/>
                <wp:docPr id="1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955" cy="8551545"/>
                        </a:xfrm>
                        <a:prstGeom prst="roundRect">
                          <a:avLst>
                            <a:gd name="adj" fmla="val 4421"/>
                          </a:avLst>
                        </a:prstGeom>
                        <a:noFill/>
                        <a:ln w="6350" cap="flat" cmpd="sng" algn="ctr">
                          <a:solidFill>
                            <a:sysClr val="windowText" lastClr="000000"/>
                          </a:solidFill>
                          <a:prstDash val="solid"/>
                        </a:ln>
                        <a:effectLst/>
                      </wps:spPr>
                      <wps:txbx>
                        <w:txbxContent>
                          <w:p w14:paraId="340C07BF" w14:textId="77777777" w:rsidR="008C0FB5" w:rsidRPr="000F6798" w:rsidRDefault="008C0FB5" w:rsidP="0094067A">
                            <w:pPr>
                              <w:pStyle w:val="ab"/>
                              <w:rPr>
                                <w:rtl/>
                              </w:rPr>
                            </w:pPr>
                          </w:p>
                          <w:p w14:paraId="4C91EE0C" w14:textId="77777777" w:rsidR="008C0FB5" w:rsidRPr="000F6798" w:rsidRDefault="008C0FB5" w:rsidP="0094067A">
                            <w:pPr>
                              <w:pStyle w:val="ab"/>
                              <w:rPr>
                                <w:rtl/>
                              </w:rPr>
                            </w:pPr>
                          </w:p>
                          <w:p w14:paraId="15661D07" w14:textId="77777777" w:rsidR="008C0FB5" w:rsidRPr="000F6798" w:rsidRDefault="008C0FB5" w:rsidP="0094067A">
                            <w:pPr>
                              <w:pStyle w:val="ab"/>
                              <w:rPr>
                                <w:rtl/>
                              </w:rPr>
                            </w:pPr>
                          </w:p>
                          <w:p w14:paraId="097440C8" w14:textId="77777777" w:rsidR="008C0FB5" w:rsidRPr="000F6798" w:rsidRDefault="008C0FB5" w:rsidP="0094067A">
                            <w:pPr>
                              <w:pStyle w:val="ab"/>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0E395" id="_x0000_s1032" style="position:absolute;left:0;text-align:left;margin-left:-6.6pt;margin-top:8.5pt;width:431.65pt;height:67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" filled="f" strokecolor="windowText" strokeweight=".5pt">
                <v:path arrowok="t"/>
                <v:textbox>
                  <w:txbxContent>
                    <w:p w14:paraId="340C07BF" w14:textId="77777777" w:rsidR="008C0FB5" w:rsidRPr="000F6798" w:rsidRDefault="008C0FB5" w:rsidP="0094067A">
                      <w:pPr>
                        <w:pStyle w:val="ab"/>
                        <w:rPr>
                          <w:rtl/>
                        </w:rPr>
                      </w:pPr>
                    </w:p>
                    <w:p w14:paraId="4C91EE0C" w14:textId="77777777" w:rsidR="008C0FB5" w:rsidRPr="000F6798" w:rsidRDefault="008C0FB5" w:rsidP="0094067A">
                      <w:pPr>
                        <w:pStyle w:val="ab"/>
                        <w:rPr>
                          <w:rtl/>
                        </w:rPr>
                      </w:pPr>
                    </w:p>
                    <w:p w14:paraId="15661D07" w14:textId="77777777" w:rsidR="008C0FB5" w:rsidRPr="000F6798" w:rsidRDefault="008C0FB5" w:rsidP="0094067A">
                      <w:pPr>
                        <w:pStyle w:val="ab"/>
                        <w:rPr>
                          <w:rtl/>
                        </w:rPr>
                      </w:pPr>
                    </w:p>
                    <w:p w14:paraId="097440C8" w14:textId="77777777" w:rsidR="008C0FB5" w:rsidRPr="000F6798" w:rsidRDefault="008C0FB5" w:rsidP="0094067A">
                      <w:pPr>
                        <w:pStyle w:val="ab"/>
                      </w:pPr>
                    </w:p>
                  </w:txbxContent>
                </v:textbox>
              </v:roundrect>
            </w:pict>
          </mc:Fallback>
        </mc:AlternateContent>
      </w:r>
      <w:r w:rsidRPr="008C0FB5">
        <w:rPr>
          <w:noProof/>
        </w:rPr>
        <w:drawing>
          <wp:inline distT="0" distB="0" distL="0" distR="0" wp14:anchorId="4E187AED" wp14:editId="76E178F1">
            <wp:extent cx="711200" cy="952500"/>
            <wp:effectExtent l="0" t="0" r="0" b="0"/>
            <wp:docPr id="11" name="Picture 38" descr="Description: http://t2.gstatic.com/images?q=tbn:ANd9GcRbEKEFZigpqReXLb_oRv1kUIXG9M28yUEA0ywN7NFS4AXo0P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t2.gstatic.com/images?q=tbn:ANd9GcRbEKEFZigpqReXLb_oRv1kUIXG9M28yUEA0ywN7NFS4AXo0Pm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14:paraId="5A758B8C" w14:textId="77777777" w:rsidR="0094067A" w:rsidRPr="008C0FB5" w:rsidRDefault="0094067A" w:rsidP="00607EEA">
      <w:pPr>
        <w:pStyle w:val="ac"/>
        <w:jc w:val="center"/>
      </w:pPr>
    </w:p>
    <w:p w14:paraId="6A776B13" w14:textId="77777777" w:rsidR="0094067A" w:rsidRPr="005C08F2" w:rsidRDefault="0094067A" w:rsidP="00607EEA">
      <w:pPr>
        <w:pStyle w:val="ac"/>
        <w:jc w:val="center"/>
        <w:rPr>
          <w:rFonts w:ascii="NoorZar" w:hAnsi="NoorZar" w:cs="NoorZar"/>
        </w:rPr>
      </w:pPr>
      <w:proofErr w:type="spellStart"/>
      <w:r w:rsidRPr="005C08F2">
        <w:rPr>
          <w:rFonts w:ascii="NoorZar" w:hAnsi="NoorZar" w:cs="NoorZar"/>
        </w:rPr>
        <w:t>Osul</w:t>
      </w:r>
      <w:proofErr w:type="spellEnd"/>
      <w:r w:rsidRPr="005C08F2">
        <w:rPr>
          <w:rFonts w:ascii="NoorZar" w:hAnsi="NoorZar" w:cs="NoorZar"/>
        </w:rPr>
        <w:t xml:space="preserve"> al-</w:t>
      </w:r>
      <w:proofErr w:type="spellStart"/>
      <w:r w:rsidRPr="005C08F2">
        <w:rPr>
          <w:rFonts w:ascii="NoorZar" w:hAnsi="NoorZar" w:cs="NoorZar"/>
        </w:rPr>
        <w:t>Deen</w:t>
      </w:r>
      <w:proofErr w:type="spellEnd"/>
      <w:r w:rsidRPr="005C08F2">
        <w:rPr>
          <w:rFonts w:ascii="NoorZar" w:hAnsi="NoorZar" w:cs="NoorZar"/>
        </w:rPr>
        <w:t xml:space="preserve"> University</w:t>
      </w:r>
    </w:p>
    <w:p w14:paraId="0253A35B" w14:textId="77777777" w:rsidR="0094067A" w:rsidRPr="005C08F2" w:rsidRDefault="0094067A" w:rsidP="00607EEA">
      <w:pPr>
        <w:pStyle w:val="ac"/>
        <w:jc w:val="center"/>
        <w:rPr>
          <w:rFonts w:ascii="NoorZar" w:hAnsi="NoorZar" w:cs="NoorZar"/>
        </w:rPr>
      </w:pPr>
      <w:r w:rsidRPr="005C08F2">
        <w:rPr>
          <w:rFonts w:ascii="NoorZar" w:hAnsi="NoorZar" w:cs="NoorZar"/>
        </w:rPr>
        <w:t>Qom</w:t>
      </w:r>
    </w:p>
    <w:p w14:paraId="5DAE794D" w14:textId="77777777" w:rsidR="0094067A" w:rsidRPr="005C08F2" w:rsidRDefault="0094067A" w:rsidP="00607EEA">
      <w:pPr>
        <w:pStyle w:val="ac"/>
        <w:jc w:val="center"/>
        <w:rPr>
          <w:rFonts w:ascii="NoorZar" w:hAnsi="NoorZar" w:cs="NoorZar"/>
        </w:rPr>
      </w:pPr>
    </w:p>
    <w:p w14:paraId="0970755E" w14:textId="77777777" w:rsidR="0094067A" w:rsidRPr="005C08F2" w:rsidRDefault="0094067A" w:rsidP="00607EEA">
      <w:pPr>
        <w:pStyle w:val="ac"/>
        <w:jc w:val="center"/>
        <w:rPr>
          <w:rFonts w:ascii="NoorZar" w:hAnsi="NoorZar" w:cs="NoorZar"/>
        </w:rPr>
      </w:pPr>
      <w:r w:rsidRPr="005C08F2">
        <w:rPr>
          <w:rFonts w:ascii="NoorZar" w:hAnsi="NoorZar" w:cs="NoorZar"/>
        </w:rPr>
        <w:t>Faculty of Quran Science and Hadith</w:t>
      </w:r>
    </w:p>
    <w:p w14:paraId="3A533AF7" w14:textId="77777777" w:rsidR="0094067A" w:rsidRPr="005C08F2" w:rsidRDefault="0094067A" w:rsidP="00607EEA">
      <w:pPr>
        <w:pStyle w:val="ac"/>
        <w:jc w:val="center"/>
        <w:rPr>
          <w:rFonts w:ascii="NoorZar" w:hAnsi="NoorZar" w:cs="NoorZar"/>
        </w:rPr>
      </w:pPr>
      <w:r w:rsidRPr="005C08F2">
        <w:rPr>
          <w:rFonts w:ascii="NoorZar" w:hAnsi="NoorZar" w:cs="NoorZar"/>
        </w:rPr>
        <w:t xml:space="preserve">Thesis For Degree </w:t>
      </w:r>
      <w:proofErr w:type="gramStart"/>
      <w:r w:rsidRPr="005C08F2">
        <w:rPr>
          <w:rFonts w:ascii="NoorZar" w:hAnsi="NoorZar" w:cs="NoorZar"/>
        </w:rPr>
        <w:t>Of</w:t>
      </w:r>
      <w:proofErr w:type="gramEnd"/>
      <w:r w:rsidRPr="005C08F2">
        <w:rPr>
          <w:rFonts w:ascii="NoorZar" w:hAnsi="NoorZar" w:cs="NoorZar"/>
        </w:rPr>
        <w:t xml:space="preserve"> Master</w:t>
      </w:r>
    </w:p>
    <w:p w14:paraId="2609E8D4" w14:textId="77777777" w:rsidR="0094067A" w:rsidRPr="005C08F2" w:rsidRDefault="0094067A" w:rsidP="00607EEA">
      <w:pPr>
        <w:pStyle w:val="ac"/>
        <w:jc w:val="center"/>
        <w:rPr>
          <w:rFonts w:ascii="NoorZar" w:hAnsi="NoorZar" w:cs="NoorZar"/>
        </w:rPr>
      </w:pPr>
    </w:p>
    <w:p w14:paraId="6535D159" w14:textId="77777777" w:rsidR="0094067A" w:rsidRPr="005C08F2" w:rsidRDefault="0094067A" w:rsidP="00607EEA">
      <w:pPr>
        <w:pStyle w:val="ac"/>
        <w:jc w:val="center"/>
        <w:rPr>
          <w:rFonts w:ascii="NoorZar" w:hAnsi="NoorZar" w:cs="NoorZar"/>
        </w:rPr>
      </w:pPr>
      <w:r w:rsidRPr="005C08F2">
        <w:rPr>
          <w:rFonts w:ascii="NoorZar" w:hAnsi="NoorZar" w:cs="NoorZar"/>
        </w:rPr>
        <w:t>Title</w:t>
      </w:r>
    </w:p>
    <w:p w14:paraId="5CAD3658" w14:textId="77777777" w:rsidR="005C08F2" w:rsidRPr="005C08F2" w:rsidRDefault="005C08F2" w:rsidP="005C08F2">
      <w:pPr>
        <w:pStyle w:val="ac"/>
        <w:jc w:val="center"/>
        <w:rPr>
          <w:rFonts w:ascii="NoorZar" w:hAnsi="NoorZar" w:cs="NoorZar"/>
        </w:rPr>
      </w:pPr>
      <w:r w:rsidRPr="005C08F2">
        <w:rPr>
          <w:rFonts w:ascii="NoorZar" w:hAnsi="NoorZar" w:cs="NoorZar"/>
        </w:rPr>
        <w:t xml:space="preserve"> Theory of contract's motivation</w:t>
      </w:r>
    </w:p>
    <w:p w14:paraId="7C0AC733" w14:textId="77777777" w:rsidR="005C08F2" w:rsidRDefault="005C08F2" w:rsidP="005C08F2">
      <w:pPr>
        <w:pStyle w:val="ac"/>
        <w:jc w:val="center"/>
        <w:rPr>
          <w:rFonts w:ascii="NoorZar" w:hAnsi="NoorZar" w:cs="NoorZar" w:hint="cs"/>
          <w:rtl/>
        </w:rPr>
      </w:pPr>
      <w:r w:rsidRPr="005C08F2">
        <w:rPr>
          <w:rFonts w:ascii="NoorZar" w:hAnsi="NoorZar" w:cs="NoorZar"/>
        </w:rPr>
        <w:t>Intellectual- argumentative theory</w:t>
      </w:r>
    </w:p>
    <w:p w14:paraId="4488EBAF" w14:textId="77777777" w:rsidR="00F63793" w:rsidRPr="00F63793" w:rsidRDefault="00F63793" w:rsidP="00F63793">
      <w:pPr>
        <w:pStyle w:val="ac"/>
        <w:jc w:val="center"/>
        <w:rPr>
          <w:rFonts w:ascii="NoorZar" w:hAnsi="NoorZar" w:cs="NoorZar"/>
        </w:rPr>
      </w:pPr>
      <w:r w:rsidRPr="00F63793">
        <w:rPr>
          <w:rFonts w:ascii="NoorZar" w:hAnsi="NoorZar" w:cs="NoorZar"/>
          <w:rtl/>
        </w:rPr>
        <w:t>(</w:t>
      </w:r>
      <w:r w:rsidRPr="00F63793">
        <w:rPr>
          <w:rFonts w:ascii="NoorZar" w:hAnsi="NoorZar" w:cs="NoorZar"/>
        </w:rPr>
        <w:t>Comparative research between Islamic jurisprudence and postural law</w:t>
      </w:r>
      <w:r w:rsidRPr="00F63793">
        <w:rPr>
          <w:rFonts w:ascii="NoorZar" w:hAnsi="NoorZar" w:cs="NoorZar"/>
          <w:rtl/>
        </w:rPr>
        <w:t>)</w:t>
      </w:r>
    </w:p>
    <w:p w14:paraId="53C671AA" w14:textId="77777777" w:rsidR="0094067A" w:rsidRPr="005C08F2" w:rsidRDefault="0094067A" w:rsidP="00607EEA">
      <w:pPr>
        <w:pStyle w:val="ac"/>
        <w:jc w:val="center"/>
        <w:rPr>
          <w:rFonts w:ascii="NoorZar" w:hAnsi="NoorZar" w:cs="NoorZar"/>
        </w:rPr>
      </w:pPr>
    </w:p>
    <w:p w14:paraId="7F035F78" w14:textId="77777777" w:rsidR="0094067A" w:rsidRPr="005C08F2" w:rsidRDefault="0094067A" w:rsidP="00607EEA">
      <w:pPr>
        <w:pStyle w:val="ac"/>
        <w:jc w:val="center"/>
        <w:rPr>
          <w:rFonts w:ascii="NoorZar" w:hAnsi="NoorZar" w:cs="NoorZar"/>
        </w:rPr>
      </w:pPr>
      <w:r w:rsidRPr="005C08F2">
        <w:rPr>
          <w:rFonts w:ascii="NoorZar" w:hAnsi="NoorZar" w:cs="NoorZar"/>
        </w:rPr>
        <w:t>Supervisor</w:t>
      </w:r>
    </w:p>
    <w:p w14:paraId="3F728132" w14:textId="77777777" w:rsidR="0094067A" w:rsidRPr="005C08F2" w:rsidRDefault="0094067A" w:rsidP="005C08F2">
      <w:pPr>
        <w:pStyle w:val="ac"/>
        <w:jc w:val="center"/>
        <w:rPr>
          <w:rFonts w:ascii="NoorZar" w:hAnsi="NoorZar" w:cs="NoorZar"/>
        </w:rPr>
      </w:pPr>
      <w:r w:rsidRPr="005C08F2">
        <w:rPr>
          <w:rFonts w:ascii="NoorZar" w:hAnsi="NoorZar" w:cs="NoorZar"/>
        </w:rPr>
        <w:t xml:space="preserve">Dr. </w:t>
      </w:r>
      <w:r w:rsidR="005C08F2">
        <w:rPr>
          <w:rFonts w:ascii="NoorZar" w:hAnsi="NoorZar" w:cs="NoorZar"/>
        </w:rPr>
        <w:t>Mahdi Al-</w:t>
      </w:r>
      <w:proofErr w:type="spellStart"/>
      <w:proofErr w:type="gramStart"/>
      <w:r w:rsidR="005C08F2">
        <w:rPr>
          <w:rFonts w:ascii="NoorZar" w:hAnsi="NoorZar" w:cs="NoorZar"/>
        </w:rPr>
        <w:t>Khaghani</w:t>
      </w:r>
      <w:proofErr w:type="spellEnd"/>
      <w:r w:rsidR="005C08F2">
        <w:rPr>
          <w:rFonts w:ascii="NoorZar" w:hAnsi="NoorZar" w:cs="NoorZar"/>
        </w:rPr>
        <w:t xml:space="preserve">  Al</w:t>
      </w:r>
      <w:proofErr w:type="gramEnd"/>
      <w:r w:rsidR="005C08F2">
        <w:rPr>
          <w:rFonts w:ascii="NoorZar" w:hAnsi="NoorZar" w:cs="NoorZar"/>
        </w:rPr>
        <w:t>-Esfahani</w:t>
      </w:r>
    </w:p>
    <w:p w14:paraId="26D325B8" w14:textId="77777777" w:rsidR="0094067A" w:rsidRPr="005C08F2" w:rsidRDefault="0094067A" w:rsidP="00607EEA">
      <w:pPr>
        <w:pStyle w:val="ac"/>
        <w:jc w:val="center"/>
        <w:rPr>
          <w:rFonts w:ascii="NoorZar" w:hAnsi="NoorZar" w:cs="NoorZar"/>
        </w:rPr>
      </w:pPr>
    </w:p>
    <w:p w14:paraId="0D5AD36C" w14:textId="77777777" w:rsidR="0094067A" w:rsidRPr="005C08F2" w:rsidRDefault="0094067A" w:rsidP="00607EEA">
      <w:pPr>
        <w:pStyle w:val="ac"/>
        <w:jc w:val="center"/>
        <w:rPr>
          <w:rFonts w:ascii="NoorZar" w:hAnsi="NoorZar" w:cs="NoorZar"/>
        </w:rPr>
      </w:pPr>
    </w:p>
    <w:p w14:paraId="706D85F6" w14:textId="77777777" w:rsidR="0094067A" w:rsidRPr="005C08F2" w:rsidRDefault="0094067A" w:rsidP="00607EEA">
      <w:pPr>
        <w:pStyle w:val="ac"/>
        <w:jc w:val="center"/>
        <w:rPr>
          <w:rFonts w:ascii="NoorZar" w:hAnsi="NoorZar" w:cs="NoorZar"/>
        </w:rPr>
      </w:pPr>
      <w:r w:rsidRPr="005C08F2">
        <w:rPr>
          <w:rFonts w:ascii="NoorZar" w:hAnsi="NoorZar" w:cs="NoorZar"/>
        </w:rPr>
        <w:t>By</w:t>
      </w:r>
    </w:p>
    <w:p w14:paraId="34B92342" w14:textId="77777777" w:rsidR="0094067A" w:rsidRPr="005C08F2" w:rsidRDefault="00607EEA" w:rsidP="00607EEA">
      <w:pPr>
        <w:pStyle w:val="ac"/>
        <w:jc w:val="center"/>
        <w:rPr>
          <w:rFonts w:ascii="NoorZar" w:hAnsi="NoorZar" w:cs="NoorZar"/>
        </w:rPr>
      </w:pPr>
      <w:proofErr w:type="spellStart"/>
      <w:r w:rsidRPr="005C08F2">
        <w:rPr>
          <w:rFonts w:ascii="NoorZar" w:hAnsi="NoorZar" w:cs="NoorZar"/>
        </w:rPr>
        <w:t>Zeidon</w:t>
      </w:r>
      <w:proofErr w:type="spellEnd"/>
      <w:r w:rsidRPr="005C08F2">
        <w:rPr>
          <w:rFonts w:ascii="NoorZar" w:hAnsi="NoorZar" w:cs="NoorZar"/>
        </w:rPr>
        <w:t xml:space="preserve"> Karim Hamed</w:t>
      </w:r>
    </w:p>
    <w:p w14:paraId="3D8A5C3D" w14:textId="77777777" w:rsidR="00607EEA" w:rsidRPr="005C08F2" w:rsidRDefault="00607EEA" w:rsidP="00607EEA">
      <w:pPr>
        <w:pStyle w:val="ac"/>
        <w:jc w:val="center"/>
        <w:rPr>
          <w:rFonts w:ascii="NoorZar" w:hAnsi="NoorZar" w:cs="NoorZar"/>
        </w:rPr>
      </w:pPr>
    </w:p>
    <w:p w14:paraId="00017205" w14:textId="77777777" w:rsidR="0094067A" w:rsidRPr="005C08F2" w:rsidRDefault="0094067A" w:rsidP="00607EEA">
      <w:pPr>
        <w:pStyle w:val="ac"/>
        <w:jc w:val="center"/>
        <w:rPr>
          <w:rFonts w:ascii="NoorZar" w:hAnsi="NoorZar" w:cs="NoorZar"/>
          <w:rtl/>
        </w:rPr>
      </w:pPr>
      <w:r w:rsidRPr="005C08F2">
        <w:rPr>
          <w:rFonts w:ascii="NoorZar" w:hAnsi="NoorZar" w:cs="NoorZar"/>
        </w:rPr>
        <w:t>2019</w:t>
      </w:r>
    </w:p>
    <w:p w14:paraId="527FE5D5" w14:textId="77777777" w:rsidR="0094067A" w:rsidRPr="008C0FB5" w:rsidRDefault="0094067A" w:rsidP="00607EEA">
      <w:pPr>
        <w:pStyle w:val="48"/>
        <w:jc w:val="center"/>
        <w:rPr>
          <w:rFonts w:hint="cs"/>
          <w:rtl/>
        </w:rPr>
      </w:pPr>
    </w:p>
    <w:sectPr w:rsidR="0094067A" w:rsidRPr="008C0FB5" w:rsidSect="0099696D">
      <w:headerReference w:type="even" r:id="rId28"/>
      <w:headerReference w:type="default" r:id="rId29"/>
      <w:footnotePr>
        <w:numRestart w:val="eachPage"/>
      </w:footnotePr>
      <w:pgSz w:w="11906" w:h="16838" w:code="9"/>
      <w:pgMar w:top="1701" w:right="1701" w:bottom="1701" w:left="1701" w:header="1134"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92ED" w14:textId="77777777" w:rsidR="002A48C9" w:rsidRDefault="002A48C9" w:rsidP="00872DEA">
      <w:pPr>
        <w:spacing w:line="240" w:lineRule="auto"/>
      </w:pPr>
      <w:r>
        <w:separator/>
      </w:r>
    </w:p>
    <w:p w14:paraId="24D27A39" w14:textId="77777777" w:rsidR="002A48C9" w:rsidRDefault="002A48C9"/>
  </w:endnote>
  <w:endnote w:type="continuationSeparator" w:id="0">
    <w:p w14:paraId="6CF145A1" w14:textId="77777777" w:rsidR="002A48C9" w:rsidRDefault="002A48C9" w:rsidP="00872DEA">
      <w:pPr>
        <w:spacing w:line="240" w:lineRule="auto"/>
      </w:pPr>
      <w:r>
        <w:continuationSeparator/>
      </w:r>
    </w:p>
    <w:p w14:paraId="7F0934C2" w14:textId="77777777" w:rsidR="002A48C9" w:rsidRDefault="002A4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embedRegular r:id="rId1" w:subsetted="1" w:fontKey="{52606C69-4D4B-4045-91D8-90170EAECE62}"/>
  </w:font>
  <w:font w:name="B Lotus">
    <w:charset w:val="B2"/>
    <w:family w:val="auto"/>
    <w:pitch w:val="variable"/>
    <w:sig w:usb0="00002001" w:usb1="80000000" w:usb2="00000008" w:usb3="00000000" w:csb0="00000040" w:csb1="00000000"/>
    <w:embedRegular r:id="rId2" w:fontKey="{78651096-625B-4775-9421-ED713E0C04A4}"/>
  </w:font>
  <w:font w:name="Sultan Medium">
    <w:altName w:val="Times New Roman"/>
    <w:charset w:val="B2"/>
    <w:family w:val="auto"/>
    <w:pitch w:val="variable"/>
    <w:sig w:usb0="00002000" w:usb1="00000000" w:usb2="00000000" w:usb3="00000000" w:csb0="00000040" w:csb1="00000000"/>
    <w:embedRegular r:id="rId3" w:fontKey="{2072DD90-1D9B-4E2F-8EFC-CBB09DA67A02}"/>
    <w:embedBold r:id="rId4" w:fontKey="{72ECA66D-2E40-4A1A-8F6F-3EB3E16FCE2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charset w:val="B2"/>
    <w:family w:val="auto"/>
    <w:pitch w:val="variable"/>
    <w:sig w:usb0="00002001" w:usb1="80000000" w:usb2="00000008" w:usb3="00000000" w:csb0="00000040" w:csb1="00000000"/>
  </w:font>
  <w:font w:name="Saihat">
    <w:altName w:val="Arial"/>
    <w:charset w:val="00"/>
    <w:family w:val="auto"/>
    <w:pitch w:val="variable"/>
    <w:sig w:usb0="00002007" w:usb1="80000000" w:usb2="00000008" w:usb3="00000000" w:csb0="00000043" w:csb1="00000000"/>
  </w:font>
  <w:font w:name="B Zar">
    <w:charset w:val="B2"/>
    <w:family w:val="auto"/>
    <w:pitch w:val="variable"/>
    <w:sig w:usb0="00002001" w:usb1="80000000" w:usb2="00000008" w:usb3="00000000" w:csb0="00000040" w:csb1="00000000"/>
  </w:font>
  <w:font w:name="Sultan bold">
    <w:altName w:val="Times New Roman"/>
    <w:charset w:val="B2"/>
    <w:family w:val="auto"/>
    <w:pitch w:val="variable"/>
    <w:sig w:usb0="00002000" w:usb1="00000000" w:usb2="00000000" w:usb3="00000000" w:csb0="00000040" w:csb1="00000000"/>
    <w:embedRegular r:id="rId5" w:fontKey="{88FB0AE4-BA0E-44C7-981F-6E5F386B3187}"/>
    <w:embedBold r:id="rId6" w:fontKey="{A429006A-9121-4658-B7B5-EDA06367B3C6}"/>
  </w:font>
  <w:font w:name="MRT_Poster4">
    <w:altName w:val="Times New Roman"/>
    <w:panose1 w:val="00000000000000000000"/>
    <w:charset w:val="00"/>
    <w:family w:val="roman"/>
    <w:notTrueType/>
    <w:pitch w:val="default"/>
  </w:font>
  <w:font w:name="MRT_Poster_4">
    <w:charset w:val="B2"/>
    <w:family w:val="auto"/>
    <w:pitch w:val="variable"/>
    <w:sig w:usb0="00002001" w:usb1="80000000" w:usb2="00000008" w:usb3="00000000" w:csb0="00000040" w:csb1="00000000"/>
  </w:font>
  <w:font w:name="B lotus Unc">
    <w:altName w:val="Times New Roman"/>
    <w:charset w:val="00"/>
    <w:family w:val="roman"/>
    <w:pitch w:val="variable"/>
    <w:sig w:usb0="20002A87" w:usb1="80000000" w:usb2="00000008" w:usb3="00000000" w:csb0="000001FF" w:csb1="00000000"/>
  </w:font>
  <w:font w:name="B Mitra">
    <w:charset w:val="B2"/>
    <w:family w:val="auto"/>
    <w:pitch w:val="variable"/>
    <w:sig w:usb0="00002001" w:usb1="80000000" w:usb2="00000008" w:usb3="00000000" w:csb0="00000040" w:csb1="00000000"/>
  </w:font>
  <w:font w:name="B Badr">
    <w:charset w:val="B2"/>
    <w:family w:val="auto"/>
    <w:pitch w:val="variable"/>
    <w:sig w:usb0="00002001" w:usb1="00000000" w:usb2="00000000" w:usb3="00000000" w:csb0="00000040" w:csb1="00000000"/>
  </w:font>
  <w:font w:name="KFGQPC Uthman Taha Naskh">
    <w:charset w:val="B2"/>
    <w:family w:val="auto"/>
    <w:pitch w:val="variable"/>
    <w:sig w:usb0="80002001" w:usb1="90000000" w:usb2="00000008" w:usb3="00000000" w:csb0="00000040" w:csb1="00000000"/>
    <w:embedRegular r:id="rId7" w:fontKey="{B925B9DB-01D1-45B9-B433-8FDCC8962C1E}"/>
    <w:embedBold r:id="rId8" w:fontKey="{0AECCE00-A5E0-479C-A822-6697592F9F8C}"/>
  </w:font>
  <w:font w:name="B Nazanin">
    <w:panose1 w:val="00000400000000000000"/>
    <w:charset w:val="B2"/>
    <w:family w:val="auto"/>
    <w:pitch w:val="variable"/>
    <w:sig w:usb0="00002001" w:usb1="80000000" w:usb2="00000008" w:usb3="00000000" w:csb0="00000040" w:csb1="00000000"/>
  </w:font>
  <w:font w:name="Lotus">
    <w:charset w:val="B2"/>
    <w:family w:val="auto"/>
    <w:pitch w:val="variable"/>
    <w:sig w:usb0="00002001" w:usb1="00000000" w:usb2="00000000" w:usb3="00000000" w:csb0="00000040" w:csb1="00000000"/>
  </w:font>
  <w:font w:name="Compset">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0" w:usb1="00000000" w:usb2="00000000" w:usb3="00000000" w:csb0="00000040" w:csb1="00000000"/>
  </w:font>
  <w:font w:name="QuranTaha">
    <w:altName w:val="Times New Roman"/>
    <w:charset w:val="B2"/>
    <w:family w:val="auto"/>
    <w:pitch w:val="variable"/>
    <w:sig w:usb0="00002000"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 Sina">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 w:name="Badr">
    <w:charset w:val="B2"/>
    <w:family w:val="auto"/>
    <w:pitch w:val="variable"/>
    <w:sig w:usb0="00002001" w:usb1="00000000" w:usb2="00000000" w:usb3="00000000" w:csb0="00000040" w:csb1="00000000"/>
  </w:font>
  <w:font w:name="Traffic">
    <w:altName w:val="Courier New"/>
    <w:charset w:val="B2"/>
    <w:family w:val="auto"/>
    <w:pitch w:val="variable"/>
    <w:sig w:usb0="00002000" w:usb1="80000000" w:usb2="00000008" w:usb3="00000000" w:csb0="00000040" w:csb1="00000000"/>
  </w:font>
  <w:font w:name="Yagut">
    <w:altName w:val="Courier New"/>
    <w:charset w:val="B2"/>
    <w:family w:val="auto"/>
    <w:pitch w:val="variable"/>
    <w:sig w:usb0="00002000" w:usb1="00000000" w:usb2="00000000" w:usb3="00000000" w:csb0="00000040" w:csb1="00000000"/>
  </w:font>
  <w:font w:name="w_Lotus">
    <w:altName w:val="Segoe UI"/>
    <w:charset w:val="00"/>
    <w:family w:val="auto"/>
    <w:pitch w:val="variable"/>
    <w:sig w:usb0="00000000" w:usb1="80000000" w:usb2="00000008" w:usb3="00000000" w:csb0="00000041" w:csb1="00000000"/>
  </w:font>
  <w:font w:name="Rafed Alaem">
    <w:charset w:val="B2"/>
    <w:family w:val="auto"/>
    <w:pitch w:val="variable"/>
    <w:sig w:usb0="00002001" w:usb1="00000000" w:usb2="00000000" w:usb3="00000000" w:csb0="00000040" w:csb1="00000000"/>
  </w:font>
  <w:font w:name="MRT_Poster_12">
    <w:charset w:val="B2"/>
    <w:family w:val="auto"/>
    <w:pitch w:val="variable"/>
    <w:sig w:usb0="00002001" w:usb1="80000000" w:usb2="00000008" w:usb3="00000000" w:csb0="00000040" w:csb1="00000000"/>
  </w:font>
  <w:font w:name="IranNastaliq">
    <w:altName w:val="Arial Unicode MS"/>
    <w:charset w:val="00"/>
    <w:family w:val="roman"/>
    <w:pitch w:val="variable"/>
    <w:sig w:usb0="00000000"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NoorZar">
    <w:charset w:val="00"/>
    <w:family w:val="auto"/>
    <w:pitch w:val="variable"/>
    <w:sig w:usb0="80002007" w:usb1="80002000" w:usb2="00000008" w:usb3="00000000" w:csb0="00000043" w:csb1="00000000"/>
    <w:embedRegular r:id="rId9" w:fontKey="{89144F1B-1892-4AFF-B2DA-90C214740D58}"/>
    <w:embedBold r:id="rId10" w:fontKey="{97C46B91-2F7F-4D9E-918F-F237BAB36134}"/>
    <w:embedItalic r:id="rId11" w:fontKey="{D672D5F7-2072-4C50-AC24-7AEEB9AE9BBC}"/>
  </w:font>
  <w:font w:name="Traditional Arabic">
    <w:panose1 w:val="02020603050405020304"/>
    <w:charset w:val="00"/>
    <w:family w:val="roman"/>
    <w:pitch w:val="variable"/>
    <w:sig w:usb0="00002003" w:usb1="80000000" w:usb2="00000008" w:usb3="00000000" w:csb0="00000041" w:csb1="00000000"/>
    <w:embedBold r:id="rId12" w:subsetted="1" w:fontKey="{65ABC780-FD2D-4D5A-861C-7288CE463129}"/>
  </w:font>
  <w:font w:name="2  Baran Outline">
    <w:altName w:val="Times New Roman"/>
    <w:charset w:val="B2"/>
    <w:family w:val="auto"/>
    <w:pitch w:val="variable"/>
    <w:sig w:usb0="00002000" w:usb1="80000000" w:usb2="00000008" w:usb3="00000000" w:csb0="00000040" w:csb1="00000000"/>
  </w:font>
  <w:font w:name="WDG">
    <w:altName w:val="Times New Roman"/>
    <w:panose1 w:val="00000000000000000000"/>
    <w:charset w:val="00"/>
    <w:family w:val="roman"/>
    <w:notTrueType/>
    <w:pitch w:val="variable"/>
    <w:sig w:usb0="00000003" w:usb1="00000000" w:usb2="00000000" w:usb3="00000000" w:csb0="00000001" w:csb1="00000000"/>
  </w:font>
  <w:font w:name="2  Badr">
    <w:altName w:val="Courier New"/>
    <w:charset w:val="B2"/>
    <w:family w:val="auto"/>
    <w:pitch w:val="variable"/>
    <w:sig w:usb0="00002000" w:usb1="80000000" w:usb2="00000008" w:usb3="00000000" w:csb0="00000040" w:csb1="00000000"/>
  </w:font>
  <w:font w:name="2  Mitra">
    <w:altName w:val="Courier New"/>
    <w:charset w:val="B2"/>
    <w:family w:val="auto"/>
    <w:pitch w:val="variable"/>
    <w:sig w:usb0="00002000" w:usb1="80000000" w:usb2="00000008" w:usb3="00000000" w:csb0="00000040" w:csb1="00000000"/>
  </w:font>
  <w:font w:name="B Yagut">
    <w:charset w:val="B2"/>
    <w:family w:val="auto"/>
    <w:pitch w:val="variable"/>
    <w:sig w:usb0="00002001" w:usb1="80000000" w:usb2="00000008" w:usb3="00000000" w:csb0="00000040" w:csb1="00000000"/>
    <w:embedBold r:id="rId13" w:subsetted="1" w:fontKey="{3E1AD109-C07A-48C6-B157-9F8022EF51C2}"/>
  </w:font>
  <w:font w:name="Zar">
    <w:altName w:val="Courier New"/>
    <w:charset w:val="B2"/>
    <w:family w:val="auto"/>
    <w:pitch w:val="variable"/>
    <w:sig w:usb0="00002007" w:usb1="00000000" w:usb2="00000008" w:usb3="00000000" w:csb0="00000040" w:csb1="00000000"/>
  </w:font>
  <w:font w:name="Abo-thar">
    <w:altName w:val="Symbol"/>
    <w:charset w:val="02"/>
    <w:family w:val="auto"/>
    <w:pitch w:val="variable"/>
    <w:sig w:usb0="00000000" w:usb1="10000000" w:usb2="00000000" w:usb3="00000000" w:csb0="80000000" w:csb1="00000000"/>
    <w:embedRegular r:id="rId14" w:fontKey="{2C450C78-5B07-4D85-8008-6678AB3B739F}"/>
    <w:embedBold r:id="rId15" w:fontKey="{3ECAA06C-32BB-4E7B-BDD1-A14BB042B629}"/>
  </w:font>
  <w:font w:name="wm_Naskh Qurani 93">
    <w:charset w:val="00"/>
    <w:family w:val="auto"/>
    <w:pitch w:val="variable"/>
    <w:sig w:usb0="00002003" w:usb1="00000000" w:usb2="00000000" w:usb3="00000000" w:csb0="00000041" w:csb1="00000000"/>
  </w:font>
  <w:font w:name="Noor_Mitra">
    <w:altName w:val="Courier New"/>
    <w:charset w:val="00"/>
    <w:family w:val="auto"/>
    <w:pitch w:val="variable"/>
    <w:sig w:usb0="00002007" w:usb1="80002000" w:usb2="00000008" w:usb3="00000000" w:csb0="00000043" w:csb1="00000000"/>
  </w:font>
  <w:font w:name="SimSun">
    <w:altName w:val="宋体"/>
    <w:panose1 w:val="02010600030101010101"/>
    <w:charset w:val="86"/>
    <w:family w:val="auto"/>
    <w:pitch w:val="variable"/>
    <w:sig w:usb0="00000203" w:usb1="288F0000" w:usb2="00000016" w:usb3="00000000" w:csb0="00040001" w:csb1="00000000"/>
  </w:font>
  <w:font w:name="w_Roya">
    <w:charset w:val="00"/>
    <w:family w:val="auto"/>
    <w:pitch w:val="variable"/>
    <w:sig w:usb0="00002003" w:usb1="80000000" w:usb2="00000008" w:usb3="00000000" w:csb0="00000041" w:csb1="00000000"/>
  </w:font>
  <w:font w:name="Taher">
    <w:charset w:val="B2"/>
    <w:family w:val="auto"/>
    <w:pitch w:val="variable"/>
    <w:sig w:usb0="00002001" w:usb1="00000000" w:usb2="00000000" w:usb3="00000000" w:csb0="00000040" w:csb1="00000000"/>
  </w:font>
  <w:font w:name="0 Nazanin">
    <w:charset w:val="B2"/>
    <w:family w:val="auto"/>
    <w:pitch w:val="variable"/>
    <w:sig w:usb0="00002001" w:usb1="80000000" w:usb2="0000000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Almizan">
    <w:charset w:val="02"/>
    <w:family w:val="auto"/>
    <w:pitch w:val="variable"/>
    <w:sig w:usb0="00000000" w:usb1="10000000" w:usb2="00000000" w:usb3="00000000" w:csb0="80000000" w:csb1="00000000"/>
  </w:font>
  <w:font w:name="Armin_symbol 1">
    <w:charset w:val="02"/>
    <w:family w:val="auto"/>
    <w:pitch w:val="variable"/>
    <w:sig w:usb0="00000000" w:usb1="10000000" w:usb2="00000000" w:usb3="00000000" w:csb0="80000000" w:csb1="00000000"/>
  </w:font>
  <w:font w:name="hashemi">
    <w:altName w:val="Arial"/>
    <w:charset w:val="00"/>
    <w:family w:val="auto"/>
    <w:pitch w:val="variable"/>
    <w:sig w:usb0="00002007" w:usb1="80000000" w:usb2="00000008" w:usb3="00000000" w:csb0="00000043" w:csb1="00000000"/>
  </w:font>
  <w:font w:name="QCF_BSML">
    <w:charset w:val="00"/>
    <w:family w:val="auto"/>
    <w:pitch w:val="variable"/>
    <w:sig w:usb0="80002003" w:usb1="90000000" w:usb2="00000008" w:usb3="00000000" w:csb0="80000041" w:csb1="00000000"/>
    <w:embedRegular r:id="rId16" w:subsetted="1" w:fontKey="{37C0CA9C-DDAB-4AA2-BCDD-7B14598B36F0}"/>
  </w:font>
  <w:font w:name="Kfg">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BA19" w14:textId="77777777" w:rsidR="002A48C9" w:rsidRDefault="002A48C9" w:rsidP="002E64EF">
      <w:pPr>
        <w:spacing w:line="240" w:lineRule="auto"/>
        <w:ind w:firstLine="0"/>
      </w:pPr>
      <w:r>
        <w:separator/>
      </w:r>
    </w:p>
  </w:footnote>
  <w:footnote w:type="continuationSeparator" w:id="0">
    <w:p w14:paraId="373BB0A2" w14:textId="77777777" w:rsidR="002A48C9" w:rsidRDefault="002A48C9" w:rsidP="00FC2F3B">
      <w:pPr>
        <w:spacing w:line="240" w:lineRule="auto"/>
        <w:ind w:firstLine="0"/>
      </w:pPr>
      <w:r>
        <w:separator/>
      </w:r>
    </w:p>
  </w:footnote>
  <w:footnote w:type="continuationNotice" w:id="1">
    <w:p w14:paraId="356B536D" w14:textId="77777777" w:rsidR="002A48C9" w:rsidRDefault="002A48C9">
      <w:pPr>
        <w:spacing w:line="240" w:lineRule="auto"/>
        <w:rPr>
          <w:rFonts w:hint="cs"/>
          <w:lang w:bidi="ar-IQ"/>
        </w:rPr>
      </w:pPr>
    </w:p>
  </w:footnote>
  <w:footnote w:id="2">
    <w:p w14:paraId="67C627D5"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يذكر الأستاذ عبد الحي حجازي في كتابه النظريات العامة للالتزامات: </w:t>
      </w:r>
    </w:p>
    <w:p w14:paraId="37F2FB9C" w14:textId="77777777" w:rsidR="008C0FB5" w:rsidRPr="001B5175" w:rsidRDefault="008C0FB5" w:rsidP="00A613BA">
      <w:pPr>
        <w:pStyle w:val="afffffff1"/>
        <w:rPr>
          <w:rtl/>
        </w:rPr>
      </w:pPr>
      <w:r w:rsidRPr="001B5175">
        <w:rPr>
          <w:rtl/>
        </w:rPr>
        <w:t>الواقع أن الكنسيين، رغبة منهم في العمل على احترام الأخلاق فرقوا بين سبب العقد وسبب الالتزام، أي انهم كانوا يعرفون نوعين من الأسباب، سبب الالتزام وهو اذلي يبرر المقابل المالي، وسبب العقد وهو الذي يكفل مطابقة العقد للأخلاق، أما دوما فلم يعترف إلا بسبب واحد هو سبب الالتزامز</w:t>
      </w:r>
    </w:p>
    <w:p w14:paraId="7FAB525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النظرية العامة للالتزام في القانون المدني الكويتي، المرجع السابق، ص420.</w:t>
      </w:r>
    </w:p>
  </w:footnote>
  <w:footnote w:id="3">
    <w:p w14:paraId="6A83603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اسعد فاضل منديل ، </w:t>
      </w:r>
      <w:r w:rsidRPr="001B5175">
        <w:rPr>
          <w:rFonts w:ascii="Lotus Linotype" w:hAnsi="Lotus Linotype" w:cs="Lotus Linotype"/>
          <w:b/>
          <w:bCs/>
          <w:i/>
          <w:iCs/>
          <w:sz w:val="24"/>
          <w:szCs w:val="24"/>
          <w:rtl/>
        </w:rPr>
        <w:t>اثر الباعث غير المشروع على الالتزامات العقدية</w:t>
      </w:r>
      <w:r w:rsidRPr="001B5175">
        <w:rPr>
          <w:rFonts w:ascii="Lotus Linotype" w:hAnsi="Lotus Linotype" w:cs="Lotus Linotype"/>
          <w:sz w:val="24"/>
          <w:szCs w:val="24"/>
          <w:rtl/>
        </w:rPr>
        <w:t xml:space="preserve"> / دراسة مقارنة ، بحث منشور مجلة كربلاء العلمية ، المجلد الرابع ، العدد 2 سنة جزيران 2006 ص265.</w:t>
      </w:r>
    </w:p>
  </w:footnote>
  <w:footnote w:id="4">
    <w:p w14:paraId="4D0F4B97"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(1) مجد الدين الفيروزآبادي، </w:t>
      </w:r>
      <w:r w:rsidRPr="001B5175">
        <w:rPr>
          <w:rFonts w:ascii="Lotus Linotype" w:hAnsi="Lotus Linotype" w:cs="Lotus Linotype"/>
          <w:b/>
          <w:bCs/>
          <w:i/>
          <w:iCs/>
          <w:sz w:val="24"/>
          <w:szCs w:val="24"/>
          <w:rtl/>
        </w:rPr>
        <w:t>القاموس</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المحيط</w:t>
      </w:r>
      <w:r w:rsidRPr="001B5175">
        <w:rPr>
          <w:rFonts w:ascii="Lotus Linotype" w:hAnsi="Lotus Linotype" w:cs="Lotus Linotype"/>
          <w:sz w:val="24"/>
          <w:szCs w:val="24"/>
          <w:rtl/>
        </w:rPr>
        <w:t>، ج1، ط دار الفكر العربي، 1978، ص162.</w:t>
      </w:r>
    </w:p>
  </w:footnote>
  <w:footnote w:id="5">
    <w:p w14:paraId="5ED3B45F"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وهبة الزحيلي، </w:t>
      </w:r>
      <w:r w:rsidRPr="001B5175">
        <w:rPr>
          <w:rFonts w:ascii="Lotus Linotype" w:hAnsi="Lotus Linotype" w:cs="Lotus Linotype"/>
          <w:b/>
          <w:bCs/>
          <w:i/>
          <w:iCs/>
          <w:sz w:val="24"/>
          <w:szCs w:val="24"/>
          <w:rtl/>
        </w:rPr>
        <w:t>نظرية الباعث في العقود في الفقه والأصول، مجلة الش</w:t>
      </w:r>
      <w:r w:rsidRPr="001B5175">
        <w:rPr>
          <w:rFonts w:ascii="Lotus Linotype" w:hAnsi="Lotus Linotype" w:cs="Lotus Linotype" w:hint="cs"/>
          <w:b/>
          <w:bCs/>
          <w:i/>
          <w:iCs/>
          <w:sz w:val="24"/>
          <w:szCs w:val="24"/>
          <w:rtl/>
        </w:rPr>
        <w:t>ـ</w:t>
      </w:r>
      <w:r w:rsidRPr="001B5175">
        <w:rPr>
          <w:rFonts w:ascii="Lotus Linotype" w:hAnsi="Lotus Linotype" w:cs="Lotus Linotype"/>
          <w:b/>
          <w:bCs/>
          <w:i/>
          <w:iCs/>
          <w:sz w:val="24"/>
          <w:szCs w:val="24"/>
          <w:rtl/>
        </w:rPr>
        <w:t>ريعة والقانون</w:t>
      </w:r>
      <w:r w:rsidRPr="001B5175">
        <w:rPr>
          <w:rFonts w:ascii="Lotus Linotype" w:hAnsi="Lotus Linotype" w:cs="Lotus Linotype"/>
          <w:sz w:val="24"/>
          <w:szCs w:val="24"/>
          <w:rtl/>
        </w:rPr>
        <w:t>، ع4، جامعة الإمارات العربية، 1988، ص17.</w:t>
      </w:r>
    </w:p>
  </w:footnote>
  <w:footnote w:id="6">
    <w:p w14:paraId="7ABB9C84" w14:textId="77777777" w:rsidR="008C0FB5" w:rsidRPr="001B5175" w:rsidRDefault="008C0FB5" w:rsidP="005947C9">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علي أحمد المهداوي، </w:t>
      </w:r>
      <w:r w:rsidRPr="001B5175">
        <w:rPr>
          <w:rFonts w:ascii="Lotus Linotype" w:hAnsi="Lotus Linotype" w:cs="Lotus Linotype"/>
          <w:b/>
          <w:bCs/>
          <w:i/>
          <w:iCs/>
          <w:sz w:val="24"/>
          <w:szCs w:val="24"/>
          <w:rtl/>
        </w:rPr>
        <w:t>نظرية السبب</w:t>
      </w:r>
      <w:r w:rsidRPr="001B5175">
        <w:rPr>
          <w:rFonts w:ascii="Lotus Linotype" w:hAnsi="Lotus Linotype" w:cs="Lotus Linotype"/>
          <w:sz w:val="24"/>
          <w:szCs w:val="24"/>
          <w:rtl/>
        </w:rPr>
        <w:t>، رسالة ماجستير مقدمة إلى كلية القانون، جامعة بغداد، 1992، ص179.</w:t>
      </w:r>
    </w:p>
  </w:footnote>
  <w:footnote w:id="7">
    <w:p w14:paraId="0A706566" w14:textId="77777777" w:rsidR="008C0FB5" w:rsidRPr="001B5175" w:rsidRDefault="008C0FB5" w:rsidP="005947C9">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الإمام الغزالي، </w:t>
      </w:r>
      <w:r w:rsidRPr="001B5175">
        <w:rPr>
          <w:rFonts w:ascii="Lotus Linotype" w:hAnsi="Lotus Linotype" w:cs="Lotus Linotype"/>
          <w:b/>
          <w:bCs/>
          <w:i/>
          <w:iCs/>
          <w:sz w:val="24"/>
          <w:szCs w:val="24"/>
          <w:rtl/>
        </w:rPr>
        <w:t>إحياء علوم الدين</w:t>
      </w:r>
      <w:r w:rsidRPr="001B5175">
        <w:rPr>
          <w:rFonts w:ascii="Lotus Linotype" w:hAnsi="Lotus Linotype" w:cs="Lotus Linotype"/>
          <w:sz w:val="24"/>
          <w:szCs w:val="24"/>
          <w:rtl/>
        </w:rPr>
        <w:t>، ج4، ط3، دار العلم، بيروت، دون سنة طبع، ص336.</w:t>
      </w:r>
    </w:p>
  </w:footnote>
  <w:footnote w:id="8">
    <w:p w14:paraId="14EEADD5" w14:textId="77777777" w:rsidR="008C0FB5" w:rsidRPr="001B5175" w:rsidRDefault="008C0FB5" w:rsidP="005947C9">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أحمد بن محمد العسقلاني، </w:t>
      </w:r>
      <w:r w:rsidRPr="001B5175">
        <w:rPr>
          <w:rFonts w:ascii="Lotus Linotype" w:hAnsi="Lotus Linotype" w:cs="Lotus Linotype"/>
          <w:b/>
          <w:bCs/>
          <w:i/>
          <w:iCs/>
          <w:sz w:val="24"/>
          <w:szCs w:val="24"/>
          <w:rtl/>
        </w:rPr>
        <w:t>فتح الباري شرح صحيح البخاري</w:t>
      </w:r>
      <w:r w:rsidRPr="001B5175">
        <w:rPr>
          <w:rFonts w:ascii="Lotus Linotype" w:hAnsi="Lotus Linotype" w:cs="Lotus Linotype"/>
          <w:sz w:val="24"/>
          <w:szCs w:val="24"/>
          <w:rtl/>
        </w:rPr>
        <w:t xml:space="preserve">، دار الفكر، بدون سنة طبع، ج1، ص16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17.</w:t>
      </w:r>
    </w:p>
  </w:footnote>
  <w:footnote w:id="9">
    <w:p w14:paraId="238F8B90" w14:textId="77777777" w:rsidR="008C0FB5" w:rsidRPr="001B5175" w:rsidRDefault="008C0FB5" w:rsidP="005947C9">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xml:space="preserve">) فتحي الدريني، </w:t>
      </w:r>
      <w:r w:rsidRPr="001B5175">
        <w:rPr>
          <w:rFonts w:ascii="Lotus Linotype" w:hAnsi="Lotus Linotype" w:cs="Lotus Linotype"/>
          <w:b/>
          <w:bCs/>
          <w:i/>
          <w:iCs/>
          <w:sz w:val="24"/>
          <w:szCs w:val="24"/>
          <w:rtl/>
        </w:rPr>
        <w:t>الحق ومدى سلطان الدولة في تقييده ونظرية التعسف في استعمال الحق</w:t>
      </w:r>
      <w:r w:rsidRPr="001B5175">
        <w:rPr>
          <w:rFonts w:ascii="Lotus Linotype" w:hAnsi="Lotus Linotype" w:cs="Lotus Linotype"/>
          <w:sz w:val="24"/>
          <w:szCs w:val="24"/>
          <w:rtl/>
        </w:rPr>
        <w:t>، ط1، مطبعة جامعة دمشق، 1967، ص433.</w:t>
      </w:r>
    </w:p>
  </w:footnote>
  <w:footnote w:id="10">
    <w:p w14:paraId="54E9DC37" w14:textId="77777777" w:rsidR="008C0FB5" w:rsidRPr="001B5175" w:rsidRDefault="008C0FB5" w:rsidP="005947C9">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5</w:t>
      </w:r>
      <w:r w:rsidRPr="001B5175">
        <w:rPr>
          <w:rFonts w:ascii="Lotus Linotype" w:hAnsi="Lotus Linotype" w:cs="Lotus Linotype"/>
          <w:sz w:val="24"/>
          <w:szCs w:val="24"/>
          <w:rtl/>
        </w:rPr>
        <w:t xml:space="preserve">)عبد الحي حجازي، </w:t>
      </w:r>
      <w:r w:rsidRPr="001B5175">
        <w:rPr>
          <w:rFonts w:ascii="Lotus Linotype" w:hAnsi="Lotus Linotype" w:cs="Lotus Linotype"/>
          <w:b/>
          <w:bCs/>
          <w:i/>
          <w:iCs/>
          <w:sz w:val="24"/>
          <w:szCs w:val="24"/>
          <w:rtl/>
        </w:rPr>
        <w:t>النظرية العامة للالتزامات</w:t>
      </w:r>
      <w:r w:rsidRPr="001B5175">
        <w:rPr>
          <w:rFonts w:ascii="Lotus Linotype" w:hAnsi="Lotus Linotype" w:cs="Lotus Linotype"/>
          <w:sz w:val="24"/>
          <w:szCs w:val="24"/>
          <w:rtl/>
        </w:rPr>
        <w:t>، المرجع السابق، ص393.</w:t>
      </w:r>
    </w:p>
  </w:footnote>
  <w:footnote w:id="11">
    <w:p w14:paraId="2AB22012"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مجموعة الأعمال التحضيرية للقانون المدني المصري</w:t>
      </w:r>
      <w:r w:rsidRPr="001B5175">
        <w:rPr>
          <w:rFonts w:ascii="Lotus Linotype" w:hAnsi="Lotus Linotype" w:cs="Lotus Linotype"/>
          <w:sz w:val="24"/>
          <w:szCs w:val="24"/>
          <w:rtl/>
        </w:rPr>
        <w:t>، ج2، ص227.</w:t>
      </w:r>
    </w:p>
  </w:footnote>
  <w:footnote w:id="12">
    <w:p w14:paraId="0E851035" w14:textId="77777777" w:rsidR="008C0FB5" w:rsidRPr="001B5175" w:rsidRDefault="008C0FB5" w:rsidP="00FB0835">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لقد ميزت النظرية التقليدية بين الغلط في السبب والغلط في الباعث واعتبرت الأول مبطلاً للعقد، أما الثاني فلم ترتب عليه أي أثر وذلك لأن النظرية التقليدية في الغلط لا تعتد إلا بالسبب بمفهومه التقليدي، أما بعد ظهور النظرية الحديثة في الغلط فان الحال قد تغير ذلك لأن الغلط في الباعث يعتبر غلطاً في صفة جوهرية من صفات العقد ويترتب عليه أن العقد يصبح موقوفاً على إجازة المتعاقد الذي وقع في الغلط، ولمزيد من التفاصيل انظر في ذلك محمد يحيى المحاسنة، الغلط في القانون المدني الأردني، بحث منشور في مجلة العلوم القانونية، مجلد14، ع1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 1999، ص180 وما بعدها. فتحي عبد الرحيم عبد الله العناصر المكونة للعقد كمصدر للالتزام في القانوني المصري والانكليزي المقارن، 1979، ص130 وما بعدها. </w:t>
      </w:r>
    </w:p>
  </w:footnote>
  <w:footnote w:id="13">
    <w:p w14:paraId="21CB878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انظر في ذلك السنهوري، </w:t>
      </w:r>
      <w:r w:rsidRPr="001B5175">
        <w:rPr>
          <w:rFonts w:ascii="Lotus Linotype" w:hAnsi="Lotus Linotype" w:cs="Lotus Linotype"/>
          <w:b/>
          <w:bCs/>
          <w:i/>
          <w:iCs/>
          <w:sz w:val="24"/>
          <w:szCs w:val="24"/>
          <w:rtl/>
        </w:rPr>
        <w:t>الوسيط</w:t>
      </w:r>
      <w:r w:rsidRPr="001B5175">
        <w:rPr>
          <w:rFonts w:ascii="Lotus Linotype" w:hAnsi="Lotus Linotype" w:cs="Lotus Linotype"/>
          <w:sz w:val="24"/>
          <w:szCs w:val="24"/>
          <w:rtl/>
        </w:rPr>
        <w:t xml:space="preserve">، ج1، ص458، </w:t>
      </w:r>
      <w:r w:rsidRPr="001B5175">
        <w:rPr>
          <w:rFonts w:ascii="Lotus Linotype" w:hAnsi="Lotus Linotype" w:cs="Lotus Linotype"/>
          <w:b/>
          <w:bCs/>
          <w:i/>
          <w:iCs/>
          <w:sz w:val="24"/>
          <w:szCs w:val="24"/>
          <w:rtl/>
        </w:rPr>
        <w:t>مصادر الحق في الفقه الإسلامي</w:t>
      </w:r>
      <w:r w:rsidRPr="001B5175">
        <w:rPr>
          <w:rFonts w:ascii="Lotus Linotype" w:hAnsi="Lotus Linotype" w:cs="Lotus Linotype"/>
          <w:sz w:val="24"/>
          <w:szCs w:val="24"/>
          <w:rtl/>
        </w:rPr>
        <w:t>، ج4، ص26، ولكن شروط الاعتداد بالباعث كسبب لإبطال العقود احتدم الفقه بشأنها فمنهم من اشترط الاتفاق بين طرفي العقد ومنهم من اشترط المساهمة ومنهم من اكتفى بالعلم وذهب الفريق الرابع إلى التفريق بين المعاوضات والتبرعات وهذا الخلاف سنبينه لاحقاً ولذلك نرجئ الكلام عنه إلى الفصل الثاني من هذا الباب.</w:t>
      </w:r>
    </w:p>
  </w:footnote>
  <w:footnote w:id="14">
    <w:p w14:paraId="181B7B26"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أنور سلطان، </w:t>
      </w:r>
      <w:r w:rsidRPr="001B5175">
        <w:rPr>
          <w:rFonts w:ascii="Lotus Linotype" w:hAnsi="Lotus Linotype" w:cs="Lotus Linotype"/>
          <w:b/>
          <w:bCs/>
          <w:i/>
          <w:iCs/>
          <w:sz w:val="24"/>
          <w:szCs w:val="24"/>
          <w:rtl/>
        </w:rPr>
        <w:t>مصادر الالتزام</w:t>
      </w:r>
      <w:r w:rsidRPr="001B5175">
        <w:rPr>
          <w:rFonts w:ascii="Lotus Linotype" w:hAnsi="Lotus Linotype" w:cs="Lotus Linotype"/>
          <w:sz w:val="24"/>
          <w:szCs w:val="24"/>
          <w:rtl/>
        </w:rPr>
        <w:t xml:space="preserve">، المرجع السابق، ص128، فريد فتيان، </w:t>
      </w:r>
      <w:r w:rsidRPr="001B5175">
        <w:rPr>
          <w:rFonts w:ascii="Lotus Linotype" w:hAnsi="Lotus Linotype" w:cs="Lotus Linotype"/>
          <w:b/>
          <w:bCs/>
          <w:i/>
          <w:iCs/>
          <w:sz w:val="24"/>
          <w:szCs w:val="24"/>
          <w:rtl/>
        </w:rPr>
        <w:t>مصادر الالتزام</w:t>
      </w:r>
      <w:r w:rsidRPr="001B5175">
        <w:rPr>
          <w:rFonts w:ascii="Lotus Linotype" w:hAnsi="Lotus Linotype" w:cs="Lotus Linotype"/>
          <w:sz w:val="24"/>
          <w:szCs w:val="24"/>
          <w:rtl/>
        </w:rPr>
        <w:t xml:space="preserve">، مطبعة العاني، بغداد، 1956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1957، ص132.</w:t>
      </w:r>
    </w:p>
  </w:footnote>
  <w:footnote w:id="15">
    <w:p w14:paraId="7150154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جلال علي العدوي، </w:t>
      </w:r>
      <w:r w:rsidRPr="001B5175">
        <w:rPr>
          <w:rFonts w:ascii="Lotus Linotype" w:hAnsi="Lotus Linotype" w:cs="Lotus Linotype"/>
          <w:b/>
          <w:bCs/>
          <w:i/>
          <w:iCs/>
          <w:sz w:val="24"/>
          <w:szCs w:val="24"/>
          <w:rtl/>
        </w:rPr>
        <w:t>أصول الالتزامات</w:t>
      </w:r>
      <w:r w:rsidRPr="001B5175">
        <w:rPr>
          <w:rFonts w:ascii="Lotus Linotype" w:hAnsi="Lotus Linotype" w:cs="Lotus Linotype"/>
          <w:sz w:val="24"/>
          <w:szCs w:val="24"/>
          <w:rtl/>
        </w:rPr>
        <w:t>، الإسكندرية، 1997، ص150.</w:t>
      </w:r>
    </w:p>
  </w:footnote>
  <w:footnote w:id="16">
    <w:p w14:paraId="284C3E26" w14:textId="77777777" w:rsidR="008C0FB5" w:rsidRPr="001B5175" w:rsidRDefault="008C0FB5" w:rsidP="005947C9">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عبد الرحمن عباد، المرجع السابق، ص213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214.</w:t>
      </w:r>
    </w:p>
  </w:footnote>
  <w:footnote w:id="17">
    <w:p w14:paraId="0FF9021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عبد الرحمن عباد، المرجع السابق، ص223، عبد الناصر توفيق العطار، </w:t>
      </w:r>
      <w:r w:rsidRPr="001B5175">
        <w:rPr>
          <w:rFonts w:ascii="Lotus Linotype" w:hAnsi="Lotus Linotype" w:cs="Lotus Linotype"/>
          <w:b/>
          <w:bCs/>
          <w:i/>
          <w:iCs/>
          <w:sz w:val="24"/>
          <w:szCs w:val="24"/>
          <w:rtl/>
        </w:rPr>
        <w:t>شرح أحكام الإيجار في القانون المدني وقانون إيجار الأماكن</w:t>
      </w:r>
      <w:r w:rsidRPr="001B5175">
        <w:rPr>
          <w:rFonts w:ascii="Lotus Linotype" w:hAnsi="Lotus Linotype" w:cs="Lotus Linotype"/>
          <w:sz w:val="24"/>
          <w:szCs w:val="24"/>
          <w:rtl/>
        </w:rPr>
        <w:t>، القاهرة، 1970، ص78.</w:t>
      </w:r>
    </w:p>
  </w:footnote>
  <w:footnote w:id="18">
    <w:p w14:paraId="5ED0D38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ولعل القاضي يقوم مقام المشرع في هذا الأمر، وهو يضع نصب عينيه المصلحة العامة والنظام السائد في المجتمع، دونما تعويل على معتقداته الشخصية، وإنما ما تدين به الجماعة في مجملها أو في الغالب الأعم منها، ولذا كان عمل القاضي عمل قانوني وليس مسألة وقائع ومن ثم تخضع لرقابة محكمة التمييز، انظر: رياض القيسي، علم أصول القانون، ط1، مطبعة الفرات، بيت الحكمة، بغداد، 2002، ص301.</w:t>
      </w:r>
    </w:p>
  </w:footnote>
  <w:footnote w:id="19">
    <w:p w14:paraId="0C4F2F2C" w14:textId="77777777" w:rsidR="008C0FB5" w:rsidRPr="001B5175" w:rsidRDefault="008C0FB5" w:rsidP="00E634C5">
      <w:pPr>
        <w:pStyle w:val="af"/>
        <w:spacing w:line="240" w:lineRule="auto"/>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انظر في ذلك المادة (135 مدني مصري) والمادة (136 مدني أردني).</w:t>
      </w:r>
    </w:p>
  </w:footnote>
  <w:footnote w:id="20">
    <w:p w14:paraId="54D151A5" w14:textId="77777777" w:rsidR="008C0FB5" w:rsidRPr="001B5175" w:rsidRDefault="008C0FB5" w:rsidP="00E634C5">
      <w:pPr>
        <w:pStyle w:val="af"/>
        <w:spacing w:line="240" w:lineRule="auto"/>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انظر في الخلافات التي ثارت حول تعريف النظام العام، حسين عبد الله الكلابي، </w:t>
      </w:r>
      <w:r w:rsidRPr="001B5175">
        <w:rPr>
          <w:rFonts w:ascii="Lotus Linotype" w:hAnsi="Lotus Linotype" w:cs="Lotus Linotype"/>
          <w:b/>
          <w:bCs/>
          <w:i/>
          <w:iCs/>
          <w:sz w:val="24"/>
          <w:szCs w:val="24"/>
          <w:rtl/>
        </w:rPr>
        <w:t>النظام العام العقدي</w:t>
      </w:r>
      <w:r w:rsidRPr="001B5175">
        <w:rPr>
          <w:rFonts w:ascii="Lotus Linotype" w:hAnsi="Lotus Linotype" w:cs="Lotus Linotype"/>
          <w:sz w:val="24"/>
          <w:szCs w:val="24"/>
          <w:rtl/>
        </w:rPr>
        <w:t xml:space="preserve">، رسالة ماجستير، 2002، ص29 وما بعدها. عبد اله مصطفى، علم أصول القانون، بغداد، 1996، ص138، عباس الصراف وجورج حزبون، </w:t>
      </w:r>
      <w:r w:rsidRPr="001B5175">
        <w:rPr>
          <w:rFonts w:ascii="Lotus Linotype" w:hAnsi="Lotus Linotype" w:cs="Lotus Linotype"/>
          <w:b/>
          <w:bCs/>
          <w:i/>
          <w:iCs/>
          <w:sz w:val="24"/>
          <w:szCs w:val="24"/>
          <w:rtl/>
        </w:rPr>
        <w:t>المدخل إلى علم القانون</w:t>
      </w:r>
      <w:r w:rsidRPr="001B5175">
        <w:rPr>
          <w:rFonts w:ascii="Lotus Linotype" w:hAnsi="Lotus Linotype" w:cs="Lotus Linotype"/>
          <w:sz w:val="24"/>
          <w:szCs w:val="24"/>
          <w:rtl/>
        </w:rPr>
        <w:t>، ط3، مكتبة دار الثقافة، 1994، ص8.</w:t>
      </w:r>
    </w:p>
  </w:footnote>
  <w:footnote w:id="21">
    <w:p w14:paraId="7D361CA6" w14:textId="77777777" w:rsidR="008C0FB5" w:rsidRPr="001B5175" w:rsidRDefault="008C0FB5" w:rsidP="00E634C5">
      <w:pPr>
        <w:pStyle w:val="af"/>
        <w:spacing w:line="240" w:lineRule="auto"/>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انظر في ذلك: حلمي بهجت بدوي، </w:t>
      </w:r>
      <w:r w:rsidRPr="001B5175">
        <w:rPr>
          <w:rFonts w:ascii="Lotus Linotype" w:hAnsi="Lotus Linotype" w:cs="Lotus Linotype"/>
          <w:b/>
          <w:bCs/>
          <w:i/>
          <w:iCs/>
          <w:sz w:val="24"/>
          <w:szCs w:val="24"/>
          <w:rtl/>
        </w:rPr>
        <w:t>أصول الالتزامات</w:t>
      </w:r>
      <w:r w:rsidRPr="001B5175">
        <w:rPr>
          <w:rFonts w:ascii="Lotus Linotype" w:hAnsi="Lotus Linotype" w:cs="Lotus Linotype"/>
          <w:sz w:val="24"/>
          <w:szCs w:val="24"/>
          <w:rtl/>
        </w:rPr>
        <w:t>، الكتاب الأول، نظرية العقد، مطبعة نوري، القاهرة، 1943، ص150، منصور مصطفى منصور، المدخل للعلوم القانونية، القاهرة، 1960، ص123 وما بعدها.</w:t>
      </w:r>
    </w:p>
  </w:footnote>
  <w:footnote w:id="22">
    <w:p w14:paraId="1FF61A39" w14:textId="77777777" w:rsidR="008C0FB5" w:rsidRPr="001B5175" w:rsidRDefault="008C0FB5" w:rsidP="00E634C5">
      <w:pPr>
        <w:pStyle w:val="af"/>
        <w:spacing w:line="240" w:lineRule="auto"/>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xml:space="preserve">) انظر في ذلك: حسن كيرة، </w:t>
      </w:r>
      <w:r w:rsidRPr="001B5175">
        <w:rPr>
          <w:rFonts w:ascii="Lotus Linotype" w:hAnsi="Lotus Linotype" w:cs="Lotus Linotype"/>
          <w:b/>
          <w:bCs/>
          <w:i/>
          <w:iCs/>
          <w:sz w:val="24"/>
          <w:szCs w:val="24"/>
          <w:rtl/>
        </w:rPr>
        <w:t>أصول القانون</w:t>
      </w:r>
      <w:r w:rsidRPr="001B5175">
        <w:rPr>
          <w:rFonts w:ascii="Lotus Linotype" w:hAnsi="Lotus Linotype" w:cs="Lotus Linotype"/>
          <w:sz w:val="24"/>
          <w:szCs w:val="24"/>
          <w:rtl/>
        </w:rPr>
        <w:t xml:space="preserve">، ط2، مطبعة دار المعارف، 1960، ص47 وما بعدها، محمد عبد الظاهر حسين، المدخل للدراسات القانونية، نظرية </w:t>
      </w:r>
      <w:r w:rsidRPr="001B5175">
        <w:rPr>
          <w:rFonts w:ascii="Lotus Linotype" w:hAnsi="Lotus Linotype" w:cs="Lotus Linotype"/>
          <w:b/>
          <w:bCs/>
          <w:i/>
          <w:iCs/>
          <w:sz w:val="24"/>
          <w:szCs w:val="24"/>
          <w:rtl/>
        </w:rPr>
        <w:t>القانون</w:t>
      </w:r>
      <w:r w:rsidRPr="001B5175">
        <w:rPr>
          <w:rFonts w:ascii="Lotus Linotype" w:hAnsi="Lotus Linotype" w:cs="Lotus Linotype"/>
          <w:sz w:val="24"/>
          <w:szCs w:val="24"/>
          <w:rtl/>
        </w:rPr>
        <w:t>، بدون مكان طبع، 1993، ص60 وما بعدها، عبد المنعم البدراوي، مبادئ القانون، بدون مكان طبع، 1981، ص96 وما بعدها.</w:t>
      </w:r>
    </w:p>
  </w:footnote>
  <w:footnote w:id="23">
    <w:p w14:paraId="3F58B162"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ثروت أنيس الأسيوطي، </w:t>
      </w:r>
      <w:r w:rsidRPr="001B5175">
        <w:rPr>
          <w:rFonts w:ascii="Lotus Linotype" w:hAnsi="Lotus Linotype" w:cs="Lotus Linotype"/>
          <w:b/>
          <w:bCs/>
          <w:i/>
          <w:iCs/>
          <w:sz w:val="24"/>
          <w:szCs w:val="24"/>
          <w:rtl/>
        </w:rPr>
        <w:t>نشأة المذاهب الفلسفية وتطورها</w:t>
      </w:r>
      <w:r w:rsidRPr="001B5175">
        <w:rPr>
          <w:rFonts w:ascii="Lotus Linotype" w:hAnsi="Lotus Linotype" w:cs="Lotus Linotype"/>
          <w:sz w:val="24"/>
          <w:szCs w:val="24"/>
          <w:rtl/>
        </w:rPr>
        <w:t>، بحث منشور في مجلة العلوم القانونية والاقتصادية، عدد2، سنة 1966، ص83.</w:t>
      </w:r>
    </w:p>
  </w:footnote>
  <w:footnote w:id="24">
    <w:p w14:paraId="4899CAA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المادة (7) من القانون المدني العراقي.</w:t>
      </w:r>
    </w:p>
  </w:footnote>
  <w:footnote w:id="25">
    <w:p w14:paraId="4F01330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حسن ذنون، </w:t>
      </w:r>
      <w:r w:rsidRPr="001B5175">
        <w:rPr>
          <w:rFonts w:ascii="Lotus Linotype" w:hAnsi="Lotus Linotype" w:cs="Lotus Linotype"/>
          <w:b/>
          <w:bCs/>
          <w:i/>
          <w:iCs/>
          <w:sz w:val="24"/>
          <w:szCs w:val="24"/>
          <w:rtl/>
        </w:rPr>
        <w:t>المبسوط في المسؤولية المدنية</w:t>
      </w:r>
      <w:r w:rsidRPr="001B5175">
        <w:rPr>
          <w:rFonts w:ascii="Lotus Linotype" w:hAnsi="Lotus Linotype" w:cs="Lotus Linotype"/>
          <w:sz w:val="24"/>
          <w:szCs w:val="24"/>
          <w:rtl/>
        </w:rPr>
        <w:t>، ج2، الخطأ، المكتبة الوطنية، 2001، بغداد، ص419 وما بعدها. الشيخ محمد أبو زهرة، إساءة استعمال الحق، مقال في مجلة إدارة قضايا الحكومة، س5، ص84.</w:t>
      </w:r>
    </w:p>
  </w:footnote>
  <w:footnote w:id="26">
    <w:p w14:paraId="7C0F67C2"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عدنان إبراهيم السرحان، نوري حمد خاطر، </w:t>
      </w:r>
      <w:r w:rsidRPr="001B5175">
        <w:rPr>
          <w:rFonts w:ascii="Lotus Linotype" w:hAnsi="Lotus Linotype" w:cs="Lotus Linotype"/>
          <w:b/>
          <w:bCs/>
          <w:i/>
          <w:iCs/>
          <w:sz w:val="24"/>
          <w:szCs w:val="24"/>
          <w:rtl/>
        </w:rPr>
        <w:t>مصادر الحقوق الشخصية</w:t>
      </w:r>
      <w:r w:rsidRPr="001B5175">
        <w:rPr>
          <w:rFonts w:ascii="Lotus Linotype" w:hAnsi="Lotus Linotype" w:cs="Lotus Linotype"/>
          <w:sz w:val="24"/>
          <w:szCs w:val="24"/>
          <w:rtl/>
        </w:rPr>
        <w:t xml:space="preserve">، مكتبة دار الثقافة والنشر والتوزيع، عمان، الأردن، 1997، ص195، يحيى علي قاسم، </w:t>
      </w:r>
      <w:r w:rsidRPr="001B5175">
        <w:rPr>
          <w:rFonts w:ascii="Lotus Linotype" w:hAnsi="Lotus Linotype" w:cs="Lotus Linotype"/>
          <w:b/>
          <w:bCs/>
          <w:i/>
          <w:iCs/>
          <w:sz w:val="24"/>
          <w:szCs w:val="24"/>
          <w:rtl/>
        </w:rPr>
        <w:t>المدخل لدراسة العلوم القانونية</w:t>
      </w:r>
      <w:r w:rsidRPr="001B5175">
        <w:rPr>
          <w:rFonts w:ascii="Lotus Linotype" w:hAnsi="Lotus Linotype" w:cs="Lotus Linotype"/>
          <w:sz w:val="24"/>
          <w:szCs w:val="24"/>
          <w:rtl/>
        </w:rPr>
        <w:t xml:space="preserve">، ط1، مطبعة كوميت للتوزيع، القاهرة، 1997، ص131، غالب الداودي، </w:t>
      </w:r>
      <w:r w:rsidRPr="001B5175">
        <w:rPr>
          <w:rFonts w:ascii="Lotus Linotype" w:hAnsi="Lotus Linotype" w:cs="Lotus Linotype"/>
          <w:b/>
          <w:bCs/>
          <w:i/>
          <w:iCs/>
          <w:sz w:val="24"/>
          <w:szCs w:val="24"/>
          <w:rtl/>
        </w:rPr>
        <w:t>المدخل إلى علم القانون وخاصة الأردني</w:t>
      </w:r>
      <w:r w:rsidRPr="001B5175">
        <w:rPr>
          <w:rFonts w:ascii="Lotus Linotype" w:hAnsi="Lotus Linotype" w:cs="Lotus Linotype"/>
          <w:sz w:val="24"/>
          <w:szCs w:val="24"/>
          <w:rtl/>
        </w:rPr>
        <w:t xml:space="preserve">، ط4، 1996، ص88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89.</w:t>
      </w:r>
    </w:p>
  </w:footnote>
  <w:footnote w:id="27">
    <w:p w14:paraId="760C83F8"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المذكرة الإيضاحية للقانون المدني الأردني</w:t>
      </w:r>
      <w:r w:rsidRPr="001B5175">
        <w:rPr>
          <w:rFonts w:ascii="Lotus Linotype" w:hAnsi="Lotus Linotype" w:cs="Lotus Linotype"/>
          <w:sz w:val="24"/>
          <w:szCs w:val="24"/>
          <w:rtl/>
        </w:rPr>
        <w:t>، ج1، نقابة المحامين الأردنيين، عمان، 1992، ص81، محمد أبو زهرة، إساءة استعمال الحق، المرجع السابق، ص85.</w:t>
      </w:r>
    </w:p>
  </w:footnote>
  <w:footnote w:id="28">
    <w:p w14:paraId="592FC31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انظر في ذلك: أنور سلطان، </w:t>
      </w:r>
      <w:r w:rsidRPr="001B5175">
        <w:rPr>
          <w:rFonts w:ascii="Lotus Linotype" w:hAnsi="Lotus Linotype" w:cs="Lotus Linotype"/>
          <w:b/>
          <w:bCs/>
          <w:i/>
          <w:iCs/>
          <w:sz w:val="24"/>
          <w:szCs w:val="24"/>
          <w:rtl/>
        </w:rPr>
        <w:t>مصادر الالتزام</w:t>
      </w:r>
      <w:r w:rsidRPr="001B5175">
        <w:rPr>
          <w:rFonts w:ascii="Lotus Linotype" w:hAnsi="Lotus Linotype" w:cs="Lotus Linotype"/>
          <w:sz w:val="24"/>
          <w:szCs w:val="24"/>
          <w:rtl/>
        </w:rPr>
        <w:t xml:space="preserve">، 1970، ص53، جميل الشرقاوي، </w:t>
      </w:r>
      <w:r w:rsidRPr="001B5175">
        <w:rPr>
          <w:rFonts w:ascii="Lotus Linotype" w:hAnsi="Lotus Linotype" w:cs="Lotus Linotype"/>
          <w:b/>
          <w:bCs/>
          <w:i/>
          <w:iCs/>
          <w:sz w:val="24"/>
          <w:szCs w:val="24"/>
          <w:rtl/>
        </w:rPr>
        <w:t>طبيعة المحل والسبب في التصرف القانوني</w:t>
      </w:r>
      <w:r w:rsidRPr="001B5175">
        <w:rPr>
          <w:rFonts w:ascii="Lotus Linotype" w:hAnsi="Lotus Linotype" w:cs="Lotus Linotype"/>
          <w:sz w:val="24"/>
          <w:szCs w:val="24"/>
          <w:rtl/>
        </w:rPr>
        <w:t>، بحث منشور في مجلة القانون والاقتصاد، ع2، س34، 1964، ص9 وما بعدها.</w:t>
      </w:r>
    </w:p>
  </w:footnote>
  <w:footnote w:id="29">
    <w:p w14:paraId="185C4F4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أنور سلطان، </w:t>
      </w:r>
      <w:r w:rsidRPr="001B5175">
        <w:rPr>
          <w:rFonts w:ascii="Lotus Linotype" w:hAnsi="Lotus Linotype" w:cs="Lotus Linotype"/>
          <w:b/>
          <w:bCs/>
          <w:i/>
          <w:iCs/>
          <w:sz w:val="24"/>
          <w:szCs w:val="24"/>
          <w:rtl/>
        </w:rPr>
        <w:t>مصادر الالتزام</w:t>
      </w:r>
      <w:r w:rsidRPr="001B5175">
        <w:rPr>
          <w:rFonts w:ascii="Lotus Linotype" w:hAnsi="Lotus Linotype" w:cs="Lotus Linotype"/>
          <w:sz w:val="24"/>
          <w:szCs w:val="24"/>
          <w:rtl/>
        </w:rPr>
        <w:t>، المرجع السابق، ص93.</w:t>
      </w:r>
    </w:p>
  </w:footnote>
  <w:footnote w:id="30">
    <w:p w14:paraId="28593AC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جلال علي العدوي، المرجع السابق، ص151.</w:t>
      </w:r>
    </w:p>
  </w:footnote>
  <w:footnote w:id="31">
    <w:p w14:paraId="023150D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جلال العدوي، المرجع السابق، ص115.</w:t>
      </w:r>
    </w:p>
  </w:footnote>
  <w:footnote w:id="32">
    <w:p w14:paraId="38F732CE"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أنور سلطان، </w:t>
      </w:r>
      <w:r w:rsidRPr="001B5175">
        <w:rPr>
          <w:rFonts w:ascii="Lotus Linotype" w:hAnsi="Lotus Linotype" w:cs="Lotus Linotype"/>
          <w:sz w:val="24"/>
          <w:szCs w:val="24"/>
          <w:rtl/>
        </w:rPr>
        <w:t>المرجع السابق، ص130.</w:t>
      </w:r>
    </w:p>
  </w:footnote>
  <w:footnote w:id="33">
    <w:p w14:paraId="7E64D57D"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وهبة الزحيلي، </w:t>
      </w:r>
      <w:r w:rsidRPr="001B5175">
        <w:rPr>
          <w:rFonts w:ascii="Lotus Linotype" w:hAnsi="Lotus Linotype" w:cs="Lotus Linotype"/>
          <w:b/>
          <w:bCs/>
          <w:i/>
          <w:iCs/>
          <w:sz w:val="24"/>
          <w:szCs w:val="24"/>
          <w:rtl/>
        </w:rPr>
        <w:t>نظرية الباعث في العقود</w:t>
      </w:r>
      <w:r w:rsidRPr="001B5175">
        <w:rPr>
          <w:rFonts w:ascii="Lotus Linotype" w:hAnsi="Lotus Linotype" w:cs="Lotus Linotype"/>
          <w:sz w:val="24"/>
          <w:szCs w:val="24"/>
          <w:rtl/>
        </w:rPr>
        <w:t>، المرجع السابق، ص18.</w:t>
      </w:r>
    </w:p>
  </w:footnote>
  <w:footnote w:id="34">
    <w:p w14:paraId="7D5F0648"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مصطفى محمد الجمال، </w:t>
      </w:r>
      <w:r w:rsidRPr="001B5175">
        <w:rPr>
          <w:rFonts w:ascii="Lotus Linotype" w:hAnsi="Lotus Linotype" w:cs="Lotus Linotype"/>
          <w:b/>
          <w:bCs/>
          <w:i/>
          <w:iCs/>
          <w:sz w:val="24"/>
          <w:szCs w:val="24"/>
          <w:rtl/>
        </w:rPr>
        <w:t>القانون المدني في ثوبه الجديد</w:t>
      </w:r>
      <w:r w:rsidRPr="001B5175">
        <w:rPr>
          <w:rFonts w:ascii="Lotus Linotype" w:hAnsi="Lotus Linotype" w:cs="Lotus Linotype"/>
          <w:sz w:val="24"/>
          <w:szCs w:val="24"/>
          <w:rtl/>
        </w:rPr>
        <w:t>، مصادر الالتزام، ط1، مطبعة الفتح للطباعة والنشر، الإسكندرية، ص180.</w:t>
      </w:r>
    </w:p>
  </w:footnote>
  <w:footnote w:id="35">
    <w:p w14:paraId="4180EB52"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فريد فتيان، المرجع السابق، ص132، عبد الناصر العطار، المرجع السابق، ص78.</w:t>
      </w:r>
    </w:p>
  </w:footnote>
  <w:footnote w:id="36">
    <w:p w14:paraId="09D089AD"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بشرى الجندي، </w:t>
      </w:r>
      <w:r w:rsidRPr="001B5175">
        <w:rPr>
          <w:rFonts w:ascii="Lotus Linotype" w:hAnsi="Lotus Linotype" w:cs="Lotus Linotype"/>
          <w:b/>
          <w:bCs/>
          <w:i/>
          <w:iCs/>
          <w:sz w:val="24"/>
          <w:szCs w:val="24"/>
          <w:rtl/>
        </w:rPr>
        <w:t>نظرية السبب ونظرية الباعث</w:t>
      </w:r>
      <w:r w:rsidRPr="001B5175">
        <w:rPr>
          <w:rFonts w:ascii="Lotus Linotype" w:hAnsi="Lotus Linotype" w:cs="Lotus Linotype"/>
          <w:sz w:val="24"/>
          <w:szCs w:val="24"/>
          <w:rtl/>
        </w:rPr>
        <w:t xml:space="preserve">، بحث منشور في مجلة المحاماة، السنة 1942، ع4، ديسمبر 1961، ص241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242.</w:t>
      </w:r>
    </w:p>
  </w:footnote>
  <w:footnote w:id="37">
    <w:p w14:paraId="203E6001"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جلال علي العدوي، المرجع السابق، ص150، عبد المجيد الحكيم، المرجع السابق، ص215.</w:t>
      </w:r>
    </w:p>
  </w:footnote>
  <w:footnote w:id="38">
    <w:p w14:paraId="13F5DC02"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عبد الناصر العطار، المرجع السابق، ص66.</w:t>
      </w:r>
    </w:p>
  </w:footnote>
  <w:footnote w:id="39">
    <w:p w14:paraId="5A0603CE"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جميل الشرقاوي، المرجع السابق، ص15، عبد الله الجليلي، </w:t>
      </w:r>
      <w:r w:rsidRPr="001B5175">
        <w:rPr>
          <w:rFonts w:ascii="Lotus Linotype" w:hAnsi="Lotus Linotype" w:cs="Lotus Linotype"/>
          <w:b/>
          <w:bCs/>
          <w:i/>
          <w:iCs/>
          <w:sz w:val="24"/>
          <w:szCs w:val="24"/>
          <w:rtl/>
        </w:rPr>
        <w:t>الشرط المستحيل والمخالف للنظام العام والآداب في القانون</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المدني</w:t>
      </w:r>
      <w:r w:rsidRPr="001B5175">
        <w:rPr>
          <w:rFonts w:ascii="Lotus Linotype" w:hAnsi="Lotus Linotype" w:cs="Lotus Linotype"/>
          <w:sz w:val="24"/>
          <w:szCs w:val="24"/>
          <w:rtl/>
        </w:rPr>
        <w:t>، المطبعة العالمية، القاهرة، 1958، ص358.</w:t>
      </w:r>
    </w:p>
  </w:footnote>
  <w:footnote w:id="40">
    <w:p w14:paraId="33CCCFD3"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محمد يحيى عبد الرحمن المحاسنة، </w:t>
      </w:r>
      <w:r w:rsidRPr="001B5175">
        <w:rPr>
          <w:rFonts w:ascii="Lotus Linotype" w:hAnsi="Lotus Linotype" w:cs="Lotus Linotype"/>
          <w:b/>
          <w:bCs/>
          <w:i/>
          <w:iCs/>
          <w:sz w:val="24"/>
          <w:szCs w:val="24"/>
          <w:rtl/>
        </w:rPr>
        <w:t>مفهوم المحل والسبب في العقد</w:t>
      </w:r>
      <w:r w:rsidRPr="001B5175">
        <w:rPr>
          <w:rFonts w:ascii="Lotus Linotype" w:hAnsi="Lotus Linotype" w:cs="Lotus Linotype"/>
          <w:sz w:val="24"/>
          <w:szCs w:val="24"/>
          <w:rtl/>
        </w:rPr>
        <w:t>، دار النهضة العربية، القاهرة، 1986، ص147.</w:t>
      </w:r>
    </w:p>
  </w:footnote>
  <w:footnote w:id="41">
    <w:p w14:paraId="534DB143"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محمود عبد المجيد المغربي، </w:t>
      </w:r>
      <w:r w:rsidRPr="001B5175">
        <w:rPr>
          <w:rFonts w:ascii="Lotus Linotype" w:hAnsi="Lotus Linotype" w:cs="Lotus Linotype"/>
          <w:b/>
          <w:bCs/>
          <w:i/>
          <w:iCs/>
          <w:sz w:val="24"/>
          <w:szCs w:val="24"/>
          <w:rtl/>
        </w:rPr>
        <w:t>المدخل إلى تاريخ الشرائع</w:t>
      </w:r>
      <w:r w:rsidRPr="001B5175">
        <w:rPr>
          <w:rFonts w:ascii="Lotus Linotype" w:hAnsi="Lotus Linotype" w:cs="Lotus Linotype"/>
          <w:sz w:val="24"/>
          <w:szCs w:val="24"/>
          <w:rtl/>
        </w:rPr>
        <w:t xml:space="preserve">، ط2، مطابع دار البلاد، لبنان، 1983، ص154. </w:t>
      </w:r>
    </w:p>
  </w:footnote>
  <w:footnote w:id="42">
    <w:p w14:paraId="6696287C"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xml:space="preserve">)عمر ممدوح مصطفى، </w:t>
      </w:r>
      <w:r w:rsidRPr="001B5175">
        <w:rPr>
          <w:rFonts w:ascii="Lotus Linotype" w:hAnsi="Lotus Linotype" w:cs="Lotus Linotype"/>
          <w:b/>
          <w:bCs/>
          <w:i/>
          <w:iCs/>
          <w:sz w:val="24"/>
          <w:szCs w:val="24"/>
          <w:rtl/>
        </w:rPr>
        <w:t>أصول تاريخ القانون</w:t>
      </w:r>
      <w:r w:rsidRPr="001B5175">
        <w:rPr>
          <w:rFonts w:ascii="Lotus Linotype" w:hAnsi="Lotus Linotype" w:cs="Lotus Linotype"/>
          <w:sz w:val="24"/>
          <w:szCs w:val="24"/>
          <w:rtl/>
        </w:rPr>
        <w:t xml:space="preserve">، مؤسسة المطبوعات الخيرية، القاهرة، 1961، ص493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494.</w:t>
      </w:r>
    </w:p>
  </w:footnote>
  <w:footnote w:id="43">
    <w:p w14:paraId="299C1263"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(1) ابن نجيم (أحمد زين العابدين)، </w:t>
      </w:r>
      <w:r w:rsidRPr="001B5175">
        <w:rPr>
          <w:rFonts w:ascii="Lotus Linotype" w:hAnsi="Lotus Linotype" w:cs="Lotus Linotype"/>
          <w:b/>
          <w:bCs/>
          <w:i/>
          <w:iCs/>
          <w:sz w:val="24"/>
          <w:szCs w:val="24"/>
          <w:rtl/>
        </w:rPr>
        <w:t>البحر الرائق شرح كنز الدقائق</w:t>
      </w:r>
      <w:r w:rsidRPr="001B5175">
        <w:rPr>
          <w:rFonts w:ascii="Lotus Linotype" w:hAnsi="Lotus Linotype" w:cs="Lotus Linotype"/>
          <w:sz w:val="24"/>
          <w:szCs w:val="24"/>
          <w:rtl/>
        </w:rPr>
        <w:t xml:space="preserve">، ج5، مصر، 1334هـ، ص284، ابن الهمام (كمال الدين)، </w:t>
      </w:r>
      <w:r w:rsidRPr="001B5175">
        <w:rPr>
          <w:rFonts w:ascii="Lotus Linotype" w:hAnsi="Lotus Linotype" w:cs="Lotus Linotype"/>
          <w:b/>
          <w:bCs/>
          <w:i/>
          <w:iCs/>
          <w:sz w:val="24"/>
          <w:szCs w:val="24"/>
          <w:rtl/>
        </w:rPr>
        <w:t>فتح القدير شرح الهداية</w:t>
      </w:r>
      <w:r w:rsidRPr="001B5175">
        <w:rPr>
          <w:rFonts w:ascii="Lotus Linotype" w:hAnsi="Lotus Linotype" w:cs="Lotus Linotype"/>
          <w:sz w:val="24"/>
          <w:szCs w:val="24"/>
          <w:rtl/>
        </w:rPr>
        <w:t>، ج5، بولاق، 1315هـ، ص74.</w:t>
      </w:r>
    </w:p>
  </w:footnote>
  <w:footnote w:id="44">
    <w:p w14:paraId="637A24AC"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w:t>
      </w:r>
      <w:r w:rsidRPr="001B5175">
        <w:rPr>
          <w:rFonts w:ascii="Lotus Linotype" w:hAnsi="Lotus Linotype" w:cs="Lotus Linotype"/>
          <w:sz w:val="24"/>
          <w:szCs w:val="24"/>
          <w:rtl/>
        </w:rPr>
        <w:t>انظر في ذلك: المادة 166 من قانون العقود والموجبات اللبناني حيث تنص صراحة على مبدأ حرية التعاقد ((إن قانون العقود خاضع لمبدأ حرية التعاقد. فللأفراد أن يرتبوا علاقاتهم القانونية كما يشاؤون بشرط أن يراعوا مقتضى النظام العام والآداب العامة والأحكام القانونية التي لها صفة الإلزامية)).</w:t>
      </w:r>
    </w:p>
  </w:footnote>
  <w:footnote w:id="45">
    <w:p w14:paraId="5FDDC9F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محمود عبد المجيد المغربي، </w:t>
      </w:r>
      <w:r w:rsidRPr="001B5175">
        <w:rPr>
          <w:rFonts w:ascii="Lotus Linotype" w:hAnsi="Lotus Linotype" w:cs="Lotus Linotype"/>
          <w:b/>
          <w:bCs/>
          <w:i/>
          <w:iCs/>
          <w:sz w:val="24"/>
          <w:szCs w:val="24"/>
          <w:rtl/>
        </w:rPr>
        <w:t>أحكام العقد في الشريعة الإسلامية</w:t>
      </w:r>
      <w:r w:rsidRPr="001B5175">
        <w:rPr>
          <w:rFonts w:ascii="Lotus Linotype" w:hAnsi="Lotus Linotype" w:cs="Lotus Linotype"/>
          <w:sz w:val="24"/>
          <w:szCs w:val="24"/>
          <w:rtl/>
        </w:rPr>
        <w:t>، ط1، المكتبة الحديثة للطباعة، بدون مكان طبع، 1988، ص29.</w:t>
      </w:r>
    </w:p>
  </w:footnote>
  <w:footnote w:id="46">
    <w:p w14:paraId="5A9A607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إن هذا المبدأ يطلق عليه مصطلح مبدأ سلطان الإرادة وقد أخذت به قوانين ونصت عليه في متونها. انظر في ذلك: (مادة </w:t>
      </w:r>
      <w:smartTag w:uri="urn:schemas-microsoft-com:office:smarttags" w:element="metricconverter">
        <w:smartTagPr>
          <w:attr w:name="ProductID" w:val="147 م"/>
        </w:smartTagPr>
        <w:r w:rsidRPr="001B5175">
          <w:rPr>
            <w:rFonts w:ascii="Lotus Linotype" w:hAnsi="Lotus Linotype" w:cs="Lotus Linotype"/>
            <w:sz w:val="24"/>
            <w:szCs w:val="24"/>
            <w:rtl/>
          </w:rPr>
          <w:t>147 م</w:t>
        </w:r>
      </w:smartTag>
      <w:r w:rsidRPr="001B5175">
        <w:rPr>
          <w:rFonts w:ascii="Lotus Linotype" w:hAnsi="Lotus Linotype" w:cs="Lotus Linotype"/>
          <w:sz w:val="24"/>
          <w:szCs w:val="24"/>
          <w:rtl/>
        </w:rPr>
        <w:t xml:space="preserve">.ع)، (مادة </w:t>
      </w:r>
      <w:smartTag w:uri="urn:schemas-microsoft-com:office:smarttags" w:element="metricconverter">
        <w:smartTagPr>
          <w:attr w:name="ProductID" w:val="152 م"/>
        </w:smartTagPr>
        <w:r w:rsidRPr="001B5175">
          <w:rPr>
            <w:rFonts w:ascii="Lotus Linotype" w:hAnsi="Lotus Linotype" w:cs="Lotus Linotype"/>
            <w:sz w:val="24"/>
            <w:szCs w:val="24"/>
            <w:rtl/>
          </w:rPr>
          <w:t>152 م</w:t>
        </w:r>
      </w:smartTag>
      <w:r w:rsidRPr="001B5175">
        <w:rPr>
          <w:rFonts w:ascii="Lotus Linotype" w:hAnsi="Lotus Linotype" w:cs="Lotus Linotype"/>
          <w:sz w:val="24"/>
          <w:szCs w:val="24"/>
          <w:rtl/>
        </w:rPr>
        <w:t xml:space="preserve">.م)، (مادة </w:t>
      </w:r>
      <w:smartTag w:uri="urn:schemas-microsoft-com:office:smarttags" w:element="metricconverter">
        <w:smartTagPr>
          <w:attr w:name="ProductID" w:val="106 م"/>
        </w:smartTagPr>
        <w:r w:rsidRPr="001B5175">
          <w:rPr>
            <w:rFonts w:ascii="Lotus Linotype" w:hAnsi="Lotus Linotype" w:cs="Lotus Linotype"/>
            <w:sz w:val="24"/>
            <w:szCs w:val="24"/>
            <w:rtl/>
          </w:rPr>
          <w:t>106 م</w:t>
        </w:r>
      </w:smartTag>
      <w:r w:rsidRPr="001B5175">
        <w:rPr>
          <w:rFonts w:ascii="Lotus Linotype" w:hAnsi="Lotus Linotype" w:cs="Lotus Linotype"/>
          <w:sz w:val="24"/>
          <w:szCs w:val="24"/>
          <w:rtl/>
        </w:rPr>
        <w:t>. جزائري).</w:t>
      </w:r>
    </w:p>
  </w:footnote>
  <w:footnote w:id="47">
    <w:p w14:paraId="6F72F371"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(5) محمد شوكت حسنين العدوي، </w:t>
      </w:r>
      <w:r w:rsidRPr="001B5175">
        <w:rPr>
          <w:rFonts w:ascii="Lotus Linotype" w:hAnsi="Lotus Linotype" w:cs="Lotus Linotype"/>
          <w:b/>
          <w:bCs/>
          <w:i/>
          <w:iCs/>
          <w:sz w:val="24"/>
          <w:szCs w:val="24"/>
          <w:rtl/>
        </w:rPr>
        <w:t>نظرية العقد في الشريعة الإسلامية</w:t>
      </w:r>
      <w:r w:rsidRPr="001B5175">
        <w:rPr>
          <w:rFonts w:ascii="Lotus Linotype" w:hAnsi="Lotus Linotype" w:cs="Lotus Linotype"/>
          <w:sz w:val="24"/>
          <w:szCs w:val="24"/>
          <w:rtl/>
        </w:rPr>
        <w:t>، مطبعة دار النهضة العربية، بدون مكان وسنة طبع، ص219.</w:t>
      </w:r>
    </w:p>
  </w:footnote>
  <w:footnote w:id="48">
    <w:p w14:paraId="27F223D3"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وحيد الدين سوار، </w:t>
      </w:r>
      <w:r w:rsidRPr="001B5175">
        <w:rPr>
          <w:rFonts w:ascii="Lotus Linotype" w:hAnsi="Lotus Linotype" w:cs="Lotus Linotype"/>
          <w:b/>
          <w:bCs/>
          <w:i/>
          <w:iCs/>
          <w:sz w:val="24"/>
          <w:szCs w:val="24"/>
          <w:rtl/>
        </w:rPr>
        <w:t>التعبير عن الإرادة في الفقه الإسلامي</w:t>
      </w:r>
      <w:r w:rsidRPr="001B5175">
        <w:rPr>
          <w:rFonts w:ascii="Lotus Linotype" w:hAnsi="Lotus Linotype" w:cs="Lotus Linotype"/>
          <w:sz w:val="24"/>
          <w:szCs w:val="24"/>
          <w:rtl/>
        </w:rPr>
        <w:t xml:space="preserve">، ط1، مكتبة النهضة المصرية، القاهرة، 1960، ص583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584، علي الخفيف، أحكام المعاملات الشرعية، القاهرة، 1947، ص241. </w:t>
      </w:r>
    </w:p>
  </w:footnote>
  <w:footnote w:id="49">
    <w:p w14:paraId="0F550D2D"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محمد زكي عبد البر، </w:t>
      </w:r>
      <w:r w:rsidRPr="001B5175">
        <w:rPr>
          <w:rFonts w:ascii="Lotus Linotype" w:hAnsi="Lotus Linotype" w:cs="Lotus Linotype"/>
          <w:b/>
          <w:bCs/>
          <w:i/>
          <w:iCs/>
          <w:sz w:val="24"/>
          <w:szCs w:val="24"/>
          <w:rtl/>
        </w:rPr>
        <w:t>مبدأ سلطان الإرادة في الفقه الإسلامي</w:t>
      </w:r>
      <w:r w:rsidRPr="001B5175">
        <w:rPr>
          <w:rFonts w:ascii="Lotus Linotype" w:hAnsi="Lotus Linotype" w:cs="Lotus Linotype"/>
          <w:sz w:val="24"/>
          <w:szCs w:val="24"/>
          <w:rtl/>
        </w:rPr>
        <w:t xml:space="preserve">، بحث منشور في مجلة إدارة قضايا الحكومة، ص8، ع1، 1964، ص1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w:t>
      </w:r>
    </w:p>
  </w:footnote>
  <w:footnote w:id="50">
    <w:p w14:paraId="4CE741AD"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علي الخفيف، المرجع السابق، ص243.</w:t>
      </w:r>
    </w:p>
  </w:footnote>
  <w:footnote w:id="51">
    <w:p w14:paraId="5ECF6AE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مصطفى الزرقا، </w:t>
      </w:r>
      <w:r w:rsidRPr="001B5175">
        <w:rPr>
          <w:rFonts w:ascii="Lotus Linotype" w:hAnsi="Lotus Linotype" w:cs="Lotus Linotype"/>
          <w:b/>
          <w:bCs/>
          <w:i/>
          <w:iCs/>
          <w:sz w:val="24"/>
          <w:szCs w:val="24"/>
          <w:rtl/>
        </w:rPr>
        <w:t>المدخل الفقهي العام</w:t>
      </w:r>
      <w:r w:rsidRPr="001B5175">
        <w:rPr>
          <w:rFonts w:ascii="Lotus Linotype" w:hAnsi="Lotus Linotype" w:cs="Lotus Linotype"/>
          <w:sz w:val="24"/>
          <w:szCs w:val="24"/>
          <w:rtl/>
        </w:rPr>
        <w:t>، ج1، مطبعة الجامعة السورية، دمشق، 1952، ص339، حيث يذهب إلى انه لا فرق بين الفقه الإسلامي والفقه الغربي في مسألة الجعلية حيث ان الشارع في كليهما ينشأ الأثر.</w:t>
      </w:r>
    </w:p>
  </w:footnote>
  <w:footnote w:id="52">
    <w:p w14:paraId="56441C31"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ومعنى هذا المبدأ ان الأثر يترتب من الشخص نفسه أما تدخل الشارع (القانون) فمقصور على وضع الجزاء.</w:t>
      </w:r>
    </w:p>
  </w:footnote>
  <w:footnote w:id="53">
    <w:p w14:paraId="0DFA7792"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حسن ذنون، </w:t>
      </w:r>
      <w:r w:rsidRPr="001B5175">
        <w:rPr>
          <w:rFonts w:ascii="Lotus Linotype" w:hAnsi="Lotus Linotype" w:cs="Lotus Linotype"/>
          <w:b/>
          <w:bCs/>
          <w:i/>
          <w:iCs/>
          <w:sz w:val="24"/>
          <w:szCs w:val="24"/>
          <w:rtl/>
        </w:rPr>
        <w:t>محاضرات في القانون المدني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نظرية العقد</w:t>
      </w:r>
      <w:r w:rsidRPr="001B5175">
        <w:rPr>
          <w:rFonts w:ascii="Lotus Linotype" w:hAnsi="Lotus Linotype" w:cs="Lotus Linotype"/>
          <w:sz w:val="24"/>
          <w:szCs w:val="24"/>
          <w:rtl/>
        </w:rPr>
        <w:t>، القاهرة، 1956، ص9.</w:t>
      </w:r>
    </w:p>
  </w:footnote>
  <w:footnote w:id="54">
    <w:p w14:paraId="5CC9C180"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صلاح الدين الناهي، المرجع السابق، ص317.</w:t>
      </w:r>
    </w:p>
  </w:footnote>
  <w:footnote w:id="55">
    <w:p w14:paraId="431144CF"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xml:space="preserve">) ويجري على هذا المنوال الكثير من أصول أحمد، والإمام مالك، الشاطبي (أبي إسحاق إبراهيم بن موسى)، </w:t>
      </w:r>
      <w:r w:rsidRPr="001B5175">
        <w:rPr>
          <w:rFonts w:ascii="Lotus Linotype" w:hAnsi="Lotus Linotype" w:cs="Lotus Linotype"/>
          <w:b/>
          <w:bCs/>
          <w:i/>
          <w:iCs/>
          <w:sz w:val="24"/>
          <w:szCs w:val="24"/>
          <w:rtl/>
        </w:rPr>
        <w:t>الموافقات في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أصول الشريعة</w:t>
      </w:r>
      <w:r w:rsidRPr="001B5175">
        <w:rPr>
          <w:rFonts w:ascii="Lotus Linotype" w:hAnsi="Lotus Linotype" w:cs="Lotus Linotype"/>
          <w:sz w:val="24"/>
          <w:szCs w:val="24"/>
          <w:rtl/>
        </w:rPr>
        <w:t>، ج2، المطبعة الرحمانية، مصر، بدون سنة طبع، ص244.</w:t>
      </w:r>
    </w:p>
  </w:footnote>
  <w:footnote w:id="56">
    <w:p w14:paraId="088995F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وقد قال بهذا القول أهل الظاهر ومن تبعهم من الشافعية وبعض من الحنفية، انظر في ذلك ابن حزم، </w:t>
      </w:r>
      <w:r w:rsidRPr="001B5175">
        <w:rPr>
          <w:rFonts w:ascii="Lotus Linotype" w:hAnsi="Lotus Linotype" w:cs="Lotus Linotype"/>
          <w:b/>
          <w:bCs/>
          <w:i/>
          <w:iCs/>
          <w:sz w:val="24"/>
          <w:szCs w:val="24"/>
          <w:rtl/>
        </w:rPr>
        <w:t>الإحكام في أصول</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الأحكام</w:t>
      </w:r>
      <w:r w:rsidRPr="001B5175">
        <w:rPr>
          <w:rFonts w:ascii="Lotus Linotype" w:hAnsi="Lotus Linotype" w:cs="Lotus Linotype"/>
          <w:sz w:val="24"/>
          <w:szCs w:val="24"/>
          <w:rtl/>
        </w:rPr>
        <w:t xml:space="preserve">، ج5، مطبعة السعادة، القاهرة، 1348هـ، ص6 وما بعدها. ابن تيمية، </w:t>
      </w:r>
      <w:r w:rsidRPr="001B5175">
        <w:rPr>
          <w:rFonts w:ascii="Lotus Linotype" w:hAnsi="Lotus Linotype" w:cs="Lotus Linotype"/>
          <w:b/>
          <w:bCs/>
          <w:i/>
          <w:iCs/>
          <w:sz w:val="24"/>
          <w:szCs w:val="24"/>
          <w:rtl/>
        </w:rPr>
        <w:t>فتاوى ابن تيمية</w:t>
      </w:r>
      <w:r w:rsidRPr="001B5175">
        <w:rPr>
          <w:rFonts w:ascii="Lotus Linotype" w:hAnsi="Lotus Linotype" w:cs="Lotus Linotype"/>
          <w:sz w:val="24"/>
          <w:szCs w:val="24"/>
          <w:rtl/>
        </w:rPr>
        <w:t xml:space="preserve">، ج3، القاهرة، 1326هـ، ص323، محمد أبو زهرة، </w:t>
      </w:r>
      <w:r w:rsidRPr="001B5175">
        <w:rPr>
          <w:rFonts w:ascii="Lotus Linotype" w:hAnsi="Lotus Linotype" w:cs="Lotus Linotype"/>
          <w:b/>
          <w:bCs/>
          <w:i/>
          <w:iCs/>
          <w:sz w:val="24"/>
          <w:szCs w:val="24"/>
          <w:rtl/>
        </w:rPr>
        <w:t>الملكية ونظرية العقد</w:t>
      </w:r>
      <w:r w:rsidRPr="001B5175">
        <w:rPr>
          <w:rFonts w:ascii="Lotus Linotype" w:hAnsi="Lotus Linotype" w:cs="Lotus Linotype"/>
          <w:sz w:val="24"/>
          <w:szCs w:val="24"/>
          <w:rtl/>
        </w:rPr>
        <w:t xml:space="preserve">، ط1، مطبعة نوري، القاهرة، 1939، ص250. </w:t>
      </w:r>
    </w:p>
  </w:footnote>
  <w:footnote w:id="57">
    <w:p w14:paraId="214AD34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وعلى هذا تجري الكثير من أصول أبي حنيفة، انظر في ذلك: الغزالي (أبو حامد)، </w:t>
      </w:r>
      <w:r w:rsidRPr="001B5175">
        <w:rPr>
          <w:rFonts w:ascii="Lotus Linotype" w:hAnsi="Lotus Linotype" w:cs="Lotus Linotype"/>
          <w:b/>
          <w:bCs/>
          <w:i/>
          <w:iCs/>
          <w:sz w:val="24"/>
          <w:szCs w:val="24"/>
          <w:rtl/>
        </w:rPr>
        <w:t>المستصفى ومعه مسلم الثبوت</w:t>
      </w:r>
      <w:r w:rsidRPr="001B5175">
        <w:rPr>
          <w:rFonts w:ascii="Lotus Linotype" w:hAnsi="Lotus Linotype" w:cs="Lotus Linotype"/>
          <w:sz w:val="24"/>
          <w:szCs w:val="24"/>
          <w:rtl/>
        </w:rPr>
        <w:t xml:space="preserve">، ج1، المطبعة الأميرية، القاهرة، 1324هـ، ص274، البخاري (علاء الدين عبد العزيز)، </w:t>
      </w:r>
      <w:r w:rsidRPr="001B5175">
        <w:rPr>
          <w:rFonts w:ascii="Lotus Linotype" w:hAnsi="Lotus Linotype" w:cs="Lotus Linotype"/>
          <w:b/>
          <w:bCs/>
          <w:i/>
          <w:iCs/>
          <w:sz w:val="24"/>
          <w:szCs w:val="24"/>
          <w:rtl/>
        </w:rPr>
        <w:t>كشف الأسرار على أصول فخر الإسلام</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البزدوي</w:t>
      </w:r>
      <w:r w:rsidRPr="001B5175">
        <w:rPr>
          <w:rFonts w:ascii="Lotus Linotype" w:hAnsi="Lotus Linotype" w:cs="Lotus Linotype"/>
          <w:sz w:val="24"/>
          <w:szCs w:val="24"/>
          <w:rtl/>
        </w:rPr>
        <w:t>، ج4، مطبعة الاستانة، 1302هـ، ص1123.</w:t>
      </w:r>
    </w:p>
  </w:footnote>
  <w:footnote w:id="58">
    <w:p w14:paraId="4E978376"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السنهوري ، </w:t>
      </w:r>
      <w:r w:rsidRPr="001B5175">
        <w:rPr>
          <w:rFonts w:ascii="Lotus Linotype" w:hAnsi="Lotus Linotype" w:cs="Lotus Linotype"/>
          <w:b/>
          <w:bCs/>
          <w:i/>
          <w:iCs/>
          <w:sz w:val="24"/>
          <w:szCs w:val="24"/>
          <w:rtl/>
        </w:rPr>
        <w:t>الوسيط</w:t>
      </w:r>
      <w:r w:rsidRPr="001B5175">
        <w:rPr>
          <w:rFonts w:ascii="Lotus Linotype" w:hAnsi="Lotus Linotype" w:cs="Lotus Linotype"/>
          <w:sz w:val="24"/>
          <w:szCs w:val="24"/>
          <w:rtl/>
        </w:rPr>
        <w:t xml:space="preserve"> ، مصدر سابق . ص120-121 .</w:t>
      </w:r>
    </w:p>
  </w:footnote>
  <w:footnote w:id="59">
    <w:p w14:paraId="259B22B5"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و نص المشرع الجزائري على هذا المبدأ في المادة 106 المطابقة للمادة (</w:t>
      </w:r>
      <w:smartTag w:uri="urn:schemas-microsoft-com:office:smarttags" w:element="metricconverter">
        <w:smartTagPr>
          <w:attr w:name="ProductID" w:val="147 م"/>
        </w:smartTagPr>
        <w:r w:rsidRPr="001B5175">
          <w:rPr>
            <w:rFonts w:ascii="Lotus Linotype" w:hAnsi="Lotus Linotype" w:cs="Lotus Linotype"/>
            <w:sz w:val="24"/>
            <w:szCs w:val="24"/>
            <w:rtl/>
          </w:rPr>
          <w:t>147 م</w:t>
        </w:r>
      </w:smartTag>
      <w:r w:rsidRPr="001B5175">
        <w:rPr>
          <w:rFonts w:ascii="Lotus Linotype" w:hAnsi="Lotus Linotype" w:cs="Lotus Linotype"/>
          <w:sz w:val="24"/>
          <w:szCs w:val="24"/>
          <w:rtl/>
        </w:rPr>
        <w:t>. م).</w:t>
      </w:r>
    </w:p>
  </w:footnote>
  <w:footnote w:id="60">
    <w:p w14:paraId="4B8F2F41"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w:t>
      </w:r>
      <w:r w:rsidRPr="001B5175">
        <w:rPr>
          <w:rFonts w:ascii="Lotus Linotype" w:hAnsi="Lotus Linotype" w:cs="Lotus Linotype"/>
          <w:sz w:val="24"/>
          <w:szCs w:val="24"/>
        </w:rPr>
        <w:t xml:space="preserve"> </w:t>
      </w:r>
      <w:r w:rsidRPr="001B5175">
        <w:rPr>
          <w:rFonts w:ascii="Lotus Linotype" w:hAnsi="Lotus Linotype" w:cs="Lotus Linotype"/>
          <w:sz w:val="24"/>
          <w:szCs w:val="24"/>
          <w:rtl/>
        </w:rPr>
        <w:t xml:space="preserve">اشار اليه : حسن عامر، </w:t>
      </w:r>
      <w:r w:rsidRPr="001B5175">
        <w:rPr>
          <w:rFonts w:ascii="Lotus Linotype" w:hAnsi="Lotus Linotype" w:cs="Lotus Linotype"/>
          <w:b/>
          <w:bCs/>
          <w:i/>
          <w:iCs/>
          <w:sz w:val="24"/>
          <w:szCs w:val="24"/>
          <w:rtl/>
        </w:rPr>
        <w:t>القوة الملزمة للعقد</w:t>
      </w:r>
      <w:r w:rsidRPr="001B5175">
        <w:rPr>
          <w:rFonts w:ascii="Lotus Linotype" w:hAnsi="Lotus Linotype" w:cs="Lotus Linotype"/>
          <w:sz w:val="24"/>
          <w:szCs w:val="24"/>
          <w:rtl/>
        </w:rPr>
        <w:t>، القاهرة، 1949، ص14.</w:t>
      </w:r>
    </w:p>
  </w:footnote>
  <w:footnote w:id="61">
    <w:p w14:paraId="4F149E9D" w14:textId="77777777" w:rsidR="008C0FB5" w:rsidRPr="001B5175" w:rsidRDefault="008C0FB5" w:rsidP="00E634C5">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عبد الفتاح عبد الباقي، </w:t>
      </w:r>
      <w:r w:rsidRPr="001B5175">
        <w:rPr>
          <w:rFonts w:ascii="Lotus Linotype" w:hAnsi="Lotus Linotype" w:cs="Lotus Linotype"/>
          <w:b/>
          <w:bCs/>
          <w:i/>
          <w:iCs/>
          <w:sz w:val="24"/>
          <w:szCs w:val="24"/>
          <w:rtl/>
        </w:rPr>
        <w:t>نظرية القانون</w:t>
      </w:r>
      <w:r w:rsidRPr="001B5175">
        <w:rPr>
          <w:rFonts w:ascii="Lotus Linotype" w:hAnsi="Lotus Linotype" w:cs="Lotus Linotype"/>
          <w:sz w:val="24"/>
          <w:szCs w:val="24"/>
          <w:rtl/>
        </w:rPr>
        <w:t xml:space="preserve">، ط3، مطابع الكتاب العربي بمصر، القاهرة، 1959، ص150، حسن كيرة، </w:t>
      </w:r>
      <w:r w:rsidRPr="001B5175">
        <w:rPr>
          <w:rFonts w:ascii="Lotus Linotype" w:hAnsi="Lotus Linotype" w:cs="Lotus Linotype"/>
          <w:b/>
          <w:bCs/>
          <w:i/>
          <w:iCs/>
          <w:sz w:val="24"/>
          <w:szCs w:val="24"/>
          <w:rtl/>
        </w:rPr>
        <w:t>المدخل</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إلى القانون</w:t>
      </w:r>
      <w:r w:rsidRPr="001B5175">
        <w:rPr>
          <w:rFonts w:ascii="Lotus Linotype" w:hAnsi="Lotus Linotype" w:cs="Lotus Linotype"/>
          <w:sz w:val="24"/>
          <w:szCs w:val="24"/>
          <w:rtl/>
        </w:rPr>
        <w:t>، منشأة المعارف، الإسكندرية، 1971، ص747.</w:t>
      </w:r>
    </w:p>
  </w:footnote>
  <w:footnote w:id="62">
    <w:p w14:paraId="6515CA3E"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وللمزيد من التفاصيل بشأن الانتقادات الموجهة إلى مبدأ سلطان الإرادة انظر في ذلك: رمضان ابن السعود، </w:t>
      </w:r>
      <w:r w:rsidRPr="001B5175">
        <w:rPr>
          <w:rFonts w:ascii="Lotus Linotype" w:hAnsi="Lotus Linotype" w:cs="Lotus Linotype"/>
          <w:b/>
          <w:bCs/>
          <w:i/>
          <w:iCs/>
          <w:sz w:val="24"/>
          <w:szCs w:val="24"/>
          <w:rtl/>
        </w:rPr>
        <w:t>مبادئ</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الالتزام</w:t>
      </w:r>
      <w:r w:rsidRPr="001B5175">
        <w:rPr>
          <w:rFonts w:ascii="Lotus Linotype" w:hAnsi="Lotus Linotype" w:cs="Lotus Linotype"/>
          <w:sz w:val="24"/>
          <w:szCs w:val="24"/>
          <w:rtl/>
        </w:rPr>
        <w:t xml:space="preserve">، الدار الجامعية للطباعة والنشر، بيروت، 1984، ص26، نعمان أحمد الخطيب، </w:t>
      </w:r>
      <w:r w:rsidRPr="001B5175">
        <w:rPr>
          <w:rFonts w:ascii="Lotus Linotype" w:hAnsi="Lotus Linotype" w:cs="Lotus Linotype"/>
          <w:b/>
          <w:bCs/>
          <w:i/>
          <w:iCs/>
          <w:sz w:val="24"/>
          <w:szCs w:val="24"/>
          <w:rtl/>
        </w:rPr>
        <w:t>الوسيط في النظم السياسية والقانون الدستوري</w:t>
      </w:r>
      <w:r w:rsidRPr="001B5175">
        <w:rPr>
          <w:rFonts w:ascii="Lotus Linotype" w:hAnsi="Lotus Linotype" w:cs="Lotus Linotype"/>
          <w:sz w:val="24"/>
          <w:szCs w:val="24"/>
          <w:rtl/>
        </w:rPr>
        <w:t xml:space="preserve">، مطبعة دار الثقافة للنشر والتوزيع، جامعة مؤتة، 1999، ص113، عبد الرزاق السنهوري، </w:t>
      </w:r>
      <w:r w:rsidRPr="001B5175">
        <w:rPr>
          <w:rFonts w:ascii="Lotus Linotype" w:hAnsi="Lotus Linotype" w:cs="Lotus Linotype"/>
          <w:b/>
          <w:bCs/>
          <w:i/>
          <w:iCs/>
          <w:sz w:val="24"/>
          <w:szCs w:val="24"/>
          <w:rtl/>
        </w:rPr>
        <w:t>نظرية العقد</w:t>
      </w:r>
      <w:r w:rsidRPr="001B5175">
        <w:rPr>
          <w:rFonts w:ascii="Lotus Linotype" w:hAnsi="Lotus Linotype" w:cs="Lotus Linotype"/>
          <w:sz w:val="24"/>
          <w:szCs w:val="24"/>
          <w:rtl/>
        </w:rPr>
        <w:t>، دار الفكر للطباعة والنشر، القاهرة، 1934، ص85.</w:t>
      </w:r>
    </w:p>
  </w:footnote>
  <w:footnote w:id="63">
    <w:p w14:paraId="0FFCAB3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انظر في ذلك: حسين عبد الله الكلابي، المرجع السابق، ص103.</w:t>
      </w:r>
    </w:p>
  </w:footnote>
  <w:footnote w:id="64">
    <w:p w14:paraId="6B41AFD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xml:space="preserve">، ج4، ص313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333.</w:t>
      </w:r>
    </w:p>
  </w:footnote>
  <w:footnote w:id="65">
    <w:p w14:paraId="5203371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ابن القيم محمد بن الجوزية، </w:t>
      </w:r>
      <w:r w:rsidRPr="001B5175">
        <w:rPr>
          <w:rFonts w:ascii="Lotus Linotype" w:hAnsi="Lotus Linotype" w:cs="Lotus Linotype"/>
          <w:b/>
          <w:bCs/>
          <w:i/>
          <w:iCs/>
          <w:sz w:val="24"/>
          <w:szCs w:val="24"/>
          <w:rtl/>
        </w:rPr>
        <w:t>أعلام الموقعين عن رب العالمين</w:t>
      </w:r>
      <w:r w:rsidRPr="001B5175">
        <w:rPr>
          <w:rFonts w:ascii="Lotus Linotype" w:hAnsi="Lotus Linotype" w:cs="Lotus Linotype"/>
          <w:sz w:val="24"/>
          <w:szCs w:val="24"/>
          <w:rtl/>
        </w:rPr>
        <w:t>، المطبعة المنيرية، القاهرة، 1325هـ، 1904م، ص82.</w:t>
      </w:r>
    </w:p>
  </w:footnote>
  <w:footnote w:id="66">
    <w:p w14:paraId="6065A74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ج4، ص331.</w:t>
      </w:r>
    </w:p>
  </w:footnote>
  <w:footnote w:id="67">
    <w:p w14:paraId="36CE350B"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المرجع نفسه، ص333.</w:t>
      </w:r>
    </w:p>
  </w:footnote>
  <w:footnote w:id="68">
    <w:p w14:paraId="1FD5A4F7"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انظر المادة (2) من مجلة الأحكام العدلية حيث نصت على انه (الأمور بمقاصدها).</w:t>
      </w:r>
    </w:p>
  </w:footnote>
  <w:footnote w:id="69">
    <w:p w14:paraId="62265386"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كإبطال الزكاة وهدمها بالكلية عن طريق الهبة، كالواهب ماله قرب نهاية الحول هبة صورية فراراً من أداء الزكاة، فان الأصل في الهبة الجواز ولو منح الزكاة من غير هبة لكن ممنوعاً، فان كل واحد منها ظاهر أمره في المصلحة أو المفسدة، فان جمع بينهما على هذا القصد صار حال الهبة المنع من أداء الزكاة وهو مفسدة ولكان هذا بشرط القصد إلى إبطال الأحكام الشرعية. الشاطبي، الموافقات، ج4، ض201.</w:t>
      </w:r>
    </w:p>
  </w:footnote>
  <w:footnote w:id="70">
    <w:p w14:paraId="735F1391"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(4) شمس الدين الوكيل، </w:t>
      </w:r>
      <w:r w:rsidRPr="001B5175">
        <w:rPr>
          <w:rFonts w:ascii="Lotus Linotype" w:hAnsi="Lotus Linotype" w:cs="Lotus Linotype"/>
          <w:b/>
          <w:bCs/>
          <w:i/>
          <w:iCs/>
          <w:sz w:val="24"/>
          <w:szCs w:val="24"/>
          <w:rtl/>
        </w:rPr>
        <w:t>دروس في نظرية العقد</w:t>
      </w:r>
      <w:r w:rsidRPr="001B5175">
        <w:rPr>
          <w:rFonts w:ascii="Lotus Linotype" w:hAnsi="Lotus Linotype" w:cs="Lotus Linotype"/>
          <w:sz w:val="24"/>
          <w:szCs w:val="24"/>
          <w:rtl/>
        </w:rPr>
        <w:t xml:space="preserve">، منشأة المعارف بالإسكندرية، ط1، 1960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1961، ص30 وما بعدها.</w:t>
      </w:r>
    </w:p>
  </w:footnote>
  <w:footnote w:id="71">
    <w:p w14:paraId="217EA45A"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فتحي عبد الرحيم عبد الله، </w:t>
      </w:r>
      <w:r w:rsidRPr="001B5175">
        <w:rPr>
          <w:rFonts w:ascii="Lotus Linotype" w:hAnsi="Lotus Linotype" w:cs="Lotus Linotype"/>
          <w:b/>
          <w:bCs/>
          <w:i/>
          <w:iCs/>
          <w:sz w:val="24"/>
          <w:szCs w:val="24"/>
          <w:rtl/>
        </w:rPr>
        <w:t>العناصر المكونة للعقد</w:t>
      </w:r>
      <w:r w:rsidRPr="001B5175">
        <w:rPr>
          <w:rFonts w:ascii="Lotus Linotype" w:hAnsi="Lotus Linotype" w:cs="Lotus Linotype"/>
          <w:sz w:val="24"/>
          <w:szCs w:val="24"/>
          <w:rtl/>
        </w:rPr>
        <w:t>، المرجع السابق، ص385.</w:t>
      </w:r>
    </w:p>
  </w:footnote>
  <w:footnote w:id="72">
    <w:p w14:paraId="1273E225"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محمد يحيى عبد الرحمن </w:t>
      </w:r>
      <w:r w:rsidRPr="001B5175">
        <w:rPr>
          <w:rFonts w:ascii="Lotus Linotype" w:hAnsi="Lotus Linotype" w:cs="Lotus Linotype"/>
          <w:b/>
          <w:bCs/>
          <w:i/>
          <w:iCs/>
          <w:sz w:val="24"/>
          <w:szCs w:val="24"/>
          <w:rtl/>
        </w:rPr>
        <w:t>المحاسنة</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مفهوم المحل والسبب في العقد</w:t>
      </w:r>
      <w:r w:rsidRPr="001B5175">
        <w:rPr>
          <w:rFonts w:ascii="Lotus Linotype" w:hAnsi="Lotus Linotype" w:cs="Lotus Linotype"/>
          <w:sz w:val="24"/>
          <w:szCs w:val="24"/>
          <w:rtl/>
        </w:rPr>
        <w:t>، المرجع السابق، ص283.</w:t>
      </w:r>
    </w:p>
  </w:footnote>
  <w:footnote w:id="73">
    <w:p w14:paraId="02B769EE"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حليمة آيت حمودي، </w:t>
      </w:r>
      <w:r w:rsidRPr="001B5175">
        <w:rPr>
          <w:rFonts w:ascii="Lotus Linotype" w:hAnsi="Lotus Linotype" w:cs="Lotus Linotype"/>
          <w:b/>
          <w:bCs/>
          <w:i/>
          <w:iCs/>
          <w:sz w:val="24"/>
          <w:szCs w:val="24"/>
          <w:rtl/>
        </w:rPr>
        <w:t>نظرية الباعث في الشريعة الإسلامية والقانون الوضعي</w:t>
      </w:r>
      <w:r w:rsidRPr="001B5175">
        <w:rPr>
          <w:rFonts w:ascii="Lotus Linotype" w:hAnsi="Lotus Linotype" w:cs="Lotus Linotype"/>
          <w:sz w:val="24"/>
          <w:szCs w:val="24"/>
          <w:rtl/>
        </w:rPr>
        <w:t>، مطبعة دار الحداثة للطباعة والنشر والتوزيع، بيروت، لبنان، 1986، ص34.</w:t>
      </w:r>
    </w:p>
  </w:footnote>
  <w:footnote w:id="74">
    <w:p w14:paraId="516783AF"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رمضان أبو السعود، </w:t>
      </w:r>
      <w:r w:rsidRPr="001B5175">
        <w:rPr>
          <w:rFonts w:ascii="Lotus Linotype" w:hAnsi="Lotus Linotype" w:cs="Lotus Linotype"/>
          <w:b/>
          <w:bCs/>
          <w:i/>
          <w:iCs/>
          <w:sz w:val="24"/>
          <w:szCs w:val="24"/>
          <w:rtl/>
        </w:rPr>
        <w:t>المدخل إلى القانون وبخاصة المصري واللبناني</w:t>
      </w:r>
      <w:r w:rsidRPr="001B5175">
        <w:rPr>
          <w:rFonts w:ascii="Lotus Linotype" w:hAnsi="Lotus Linotype" w:cs="Lotus Linotype"/>
          <w:sz w:val="24"/>
          <w:szCs w:val="24"/>
          <w:rtl/>
        </w:rPr>
        <w:t xml:space="preserve">، الدار الجامعية للطباعة، 1986، ص18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24.</w:t>
      </w:r>
    </w:p>
  </w:footnote>
  <w:footnote w:id="75">
    <w:p w14:paraId="0B33C192"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وحيد الدين سوار، المرجع السابق، ص302، محمد يوسف موسى، </w:t>
      </w:r>
      <w:r w:rsidRPr="001B5175">
        <w:rPr>
          <w:rFonts w:ascii="Lotus Linotype" w:hAnsi="Lotus Linotype" w:cs="Lotus Linotype"/>
          <w:b/>
          <w:bCs/>
          <w:i/>
          <w:iCs/>
          <w:sz w:val="24"/>
          <w:szCs w:val="24"/>
          <w:rtl/>
        </w:rPr>
        <w:t>الفقه الإسلامي</w:t>
      </w:r>
      <w:r w:rsidRPr="001B5175">
        <w:rPr>
          <w:rFonts w:ascii="Lotus Linotype" w:hAnsi="Lotus Linotype" w:cs="Lotus Linotype"/>
          <w:sz w:val="24"/>
          <w:szCs w:val="24"/>
          <w:rtl/>
        </w:rPr>
        <w:t>، (</w:t>
      </w:r>
      <w:r w:rsidRPr="001B5175">
        <w:rPr>
          <w:rFonts w:ascii="Lotus Linotype" w:hAnsi="Lotus Linotype" w:cs="Lotus Linotype"/>
          <w:b/>
          <w:bCs/>
          <w:i/>
          <w:iCs/>
          <w:sz w:val="24"/>
          <w:szCs w:val="24"/>
          <w:rtl/>
        </w:rPr>
        <w:t>مدخل لدراسة نظام المعاملات</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فيه</w:t>
      </w:r>
      <w:r w:rsidRPr="001B5175">
        <w:rPr>
          <w:rFonts w:ascii="Lotus Linotype" w:hAnsi="Lotus Linotype" w:cs="Lotus Linotype"/>
          <w:sz w:val="24"/>
          <w:szCs w:val="24"/>
          <w:rtl/>
        </w:rPr>
        <w:t xml:space="preserve">)، ط3، مطابع دار الكتاب العربي، مصر، 1958، ص331. </w:t>
      </w:r>
    </w:p>
  </w:footnote>
  <w:footnote w:id="76">
    <w:p w14:paraId="5B95C53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ويتفق المذهب الزيدي والمذهب الظاهري مع المذهب الشافعي في هذا الاتجاه، انظر في الفقه الزيدي، السياغي (شرف الدين الحسين بن أحمد بن الحسين)، </w:t>
      </w:r>
      <w:r w:rsidRPr="001B5175">
        <w:rPr>
          <w:rFonts w:ascii="Lotus Linotype" w:hAnsi="Lotus Linotype" w:cs="Lotus Linotype"/>
          <w:b/>
          <w:bCs/>
          <w:i/>
          <w:iCs/>
          <w:sz w:val="24"/>
          <w:szCs w:val="24"/>
          <w:rtl/>
        </w:rPr>
        <w:t>الروض النظير شرح مجموعة الفقه الكبير</w:t>
      </w:r>
      <w:r w:rsidRPr="001B5175">
        <w:rPr>
          <w:rFonts w:ascii="Lotus Linotype" w:hAnsi="Lotus Linotype" w:cs="Lotus Linotype"/>
          <w:sz w:val="24"/>
          <w:szCs w:val="24"/>
          <w:rtl/>
        </w:rPr>
        <w:t xml:space="preserve">، ج3، ط1، مطبعة السعادة، مصر، 1384هـ، ص282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283، أما الفقه الظاهري، انظر فيه، ابن حزم (أبي محمد علي بن أحمد بن سعيد)، </w:t>
      </w:r>
      <w:r w:rsidRPr="001B5175">
        <w:rPr>
          <w:rFonts w:ascii="Lotus Linotype" w:hAnsi="Lotus Linotype" w:cs="Lotus Linotype"/>
          <w:b/>
          <w:bCs/>
          <w:i/>
          <w:iCs/>
          <w:sz w:val="24"/>
          <w:szCs w:val="24"/>
          <w:rtl/>
        </w:rPr>
        <w:t>المحلى</w:t>
      </w:r>
      <w:r w:rsidRPr="001B5175">
        <w:rPr>
          <w:rFonts w:ascii="Lotus Linotype" w:hAnsi="Lotus Linotype" w:cs="Lotus Linotype"/>
          <w:sz w:val="24"/>
          <w:szCs w:val="24"/>
          <w:rtl/>
        </w:rPr>
        <w:t xml:space="preserve">، ج9، منشورات المكتب التجاري للطباعة والنشر والتوزيع، بيروت، ص29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30.</w:t>
      </w:r>
    </w:p>
  </w:footnote>
  <w:footnote w:id="77">
    <w:p w14:paraId="1BBBE49D"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(2) الشافعي، </w:t>
      </w:r>
      <w:r w:rsidRPr="001B5175">
        <w:rPr>
          <w:rFonts w:ascii="Lotus Linotype" w:hAnsi="Lotus Linotype" w:cs="Lotus Linotype"/>
          <w:b/>
          <w:bCs/>
          <w:i/>
          <w:iCs/>
          <w:sz w:val="24"/>
          <w:szCs w:val="24"/>
          <w:rtl/>
        </w:rPr>
        <w:t>الأم</w:t>
      </w:r>
      <w:r w:rsidRPr="001B5175">
        <w:rPr>
          <w:rFonts w:ascii="Lotus Linotype" w:hAnsi="Lotus Linotype" w:cs="Lotus Linotype"/>
          <w:sz w:val="24"/>
          <w:szCs w:val="24"/>
          <w:rtl/>
        </w:rPr>
        <w:t>، ج3، دار الفكر للطباعة والنشر والتوزيع، بيروت، 1980، ص75.</w:t>
      </w:r>
    </w:p>
  </w:footnote>
  <w:footnote w:id="78">
    <w:p w14:paraId="123E2AC3"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مالك دوهان الحسن، </w:t>
      </w:r>
      <w:r w:rsidRPr="001B5175">
        <w:rPr>
          <w:rFonts w:ascii="Lotus Linotype" w:hAnsi="Lotus Linotype" w:cs="Lotus Linotype"/>
          <w:b/>
          <w:bCs/>
          <w:i/>
          <w:iCs/>
          <w:sz w:val="24"/>
          <w:szCs w:val="24"/>
          <w:rtl/>
        </w:rPr>
        <w:t>المدخل لدراسة القانون</w:t>
      </w:r>
      <w:r w:rsidRPr="001B5175">
        <w:rPr>
          <w:rFonts w:ascii="Lotus Linotype" w:hAnsi="Lotus Linotype" w:cs="Lotus Linotype"/>
          <w:sz w:val="24"/>
          <w:szCs w:val="24"/>
          <w:rtl/>
        </w:rPr>
        <w:t>، ج1، النظرية العامة للقاعدة القانونية، مطبعة الجامعة المستنصرية، بغداد، 1972، ص508.</w:t>
      </w:r>
    </w:p>
  </w:footnote>
  <w:footnote w:id="79">
    <w:p w14:paraId="75FB388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ص96.</w:t>
      </w:r>
    </w:p>
  </w:footnote>
  <w:footnote w:id="80">
    <w:p w14:paraId="41B39982"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المرجع نفسه ، ص82.</w:t>
      </w:r>
    </w:p>
  </w:footnote>
  <w:footnote w:id="81">
    <w:p w14:paraId="2214F8C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المرجع نفسه، ص87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91.</w:t>
      </w:r>
    </w:p>
  </w:footnote>
  <w:footnote w:id="82">
    <w:p w14:paraId="1997C68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xml:space="preserve">، ج4، ص323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324.</w:t>
      </w:r>
    </w:p>
  </w:footnote>
  <w:footnote w:id="83">
    <w:p w14:paraId="6EA6F3C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(5) مالك دوهان الحسن، المرجع السابق، ص507.</w:t>
      </w:r>
    </w:p>
  </w:footnote>
  <w:footnote w:id="84">
    <w:p w14:paraId="15E37DA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محكمة الاستئناف في 28 يونيو 1906، سيريه 1907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61، نقلاً عن السنهوري، </w:t>
      </w:r>
      <w:r w:rsidRPr="001B5175">
        <w:rPr>
          <w:rFonts w:ascii="Lotus Linotype" w:hAnsi="Lotus Linotype" w:cs="Lotus Linotype"/>
          <w:b/>
          <w:bCs/>
          <w:i/>
          <w:iCs/>
          <w:sz w:val="24"/>
          <w:szCs w:val="24"/>
          <w:rtl/>
        </w:rPr>
        <w:t>الوسيط</w:t>
      </w:r>
      <w:r w:rsidRPr="001B5175">
        <w:rPr>
          <w:rFonts w:ascii="Lotus Linotype" w:hAnsi="Lotus Linotype" w:cs="Lotus Linotype"/>
          <w:sz w:val="24"/>
          <w:szCs w:val="24"/>
          <w:rtl/>
        </w:rPr>
        <w:t>، ج1، ص460.</w:t>
      </w:r>
    </w:p>
  </w:footnote>
  <w:footnote w:id="85">
    <w:p w14:paraId="535921E6"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علاء الدين الكاساني، </w:t>
      </w:r>
      <w:r w:rsidRPr="001B5175">
        <w:rPr>
          <w:rFonts w:ascii="Lotus Linotype" w:hAnsi="Lotus Linotype" w:cs="Lotus Linotype"/>
          <w:b/>
          <w:bCs/>
          <w:i/>
          <w:iCs/>
          <w:sz w:val="24"/>
          <w:szCs w:val="24"/>
          <w:rtl/>
        </w:rPr>
        <w:t>البدائع والصنائع</w:t>
      </w:r>
      <w:r w:rsidRPr="001B5175">
        <w:rPr>
          <w:rFonts w:ascii="Lotus Linotype" w:hAnsi="Lotus Linotype" w:cs="Lotus Linotype"/>
          <w:sz w:val="24"/>
          <w:szCs w:val="24"/>
          <w:rtl/>
        </w:rPr>
        <w:t>، ج5، ط2، دار الكتاب العربي، بيروت، 1982، ص143.</w:t>
      </w:r>
    </w:p>
  </w:footnote>
  <w:footnote w:id="86">
    <w:p w14:paraId="1D765C68"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محمد حسن قاسم ، </w:t>
      </w:r>
      <w:r w:rsidRPr="001B5175">
        <w:rPr>
          <w:rFonts w:ascii="Lotus Linotype" w:hAnsi="Lotus Linotype" w:cs="Lotus Linotype"/>
          <w:b/>
          <w:bCs/>
          <w:i/>
          <w:iCs/>
          <w:sz w:val="24"/>
          <w:szCs w:val="24"/>
          <w:rtl/>
        </w:rPr>
        <w:t>اللتزامات</w:t>
      </w:r>
      <w:r w:rsidRPr="001B5175">
        <w:rPr>
          <w:rFonts w:ascii="Lotus Linotype" w:hAnsi="Lotus Linotype" w:cs="Lotus Linotype"/>
          <w:sz w:val="24"/>
          <w:szCs w:val="24"/>
          <w:rtl/>
        </w:rPr>
        <w:t xml:space="preserve"> ، المجلد الاول ، منشورات الجلبي الحقوقية .سنة 2017 ، ص 111.</w:t>
      </w:r>
    </w:p>
    <w:p w14:paraId="60C3D22D"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محمد حسنين، المرجع السابق، ص27، عدنان إبراهيم السرحان، نوري حمد خاطر، المرجع السابق، ص55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56.</w:t>
      </w:r>
    </w:p>
  </w:footnote>
  <w:footnote w:id="87">
    <w:p w14:paraId="536304BA"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مأمون الكزبري، </w:t>
      </w:r>
      <w:r w:rsidRPr="001B5175">
        <w:rPr>
          <w:rFonts w:ascii="Lotus Linotype" w:hAnsi="Lotus Linotype" w:cs="Lotus Linotype"/>
          <w:b/>
          <w:bCs/>
          <w:i/>
          <w:iCs/>
          <w:sz w:val="24"/>
          <w:szCs w:val="24"/>
          <w:rtl/>
        </w:rPr>
        <w:t>نظرية الالتزام في ضوء قانون الالتزامات والعقود المغربي</w:t>
      </w:r>
      <w:r w:rsidRPr="001B5175">
        <w:rPr>
          <w:rFonts w:ascii="Lotus Linotype" w:hAnsi="Lotus Linotype" w:cs="Lotus Linotype"/>
          <w:sz w:val="24"/>
          <w:szCs w:val="24"/>
          <w:rtl/>
        </w:rPr>
        <w:t>، ج1، مصادر الالتزام، بدون مكان وسنة طبع، ص45.</w:t>
      </w:r>
    </w:p>
  </w:footnote>
  <w:footnote w:id="88">
    <w:p w14:paraId="18B9417E"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xml:space="preserve">) حسن ذنون، </w:t>
      </w:r>
      <w:r w:rsidRPr="001B5175">
        <w:rPr>
          <w:rFonts w:ascii="Lotus Linotype" w:hAnsi="Lotus Linotype" w:cs="Lotus Linotype"/>
          <w:b/>
          <w:bCs/>
          <w:i/>
          <w:iCs/>
          <w:sz w:val="24"/>
          <w:szCs w:val="24"/>
          <w:rtl/>
        </w:rPr>
        <w:t>النظرية العامة للالتزامات</w:t>
      </w:r>
      <w:r w:rsidRPr="001B5175">
        <w:rPr>
          <w:rFonts w:ascii="Lotus Linotype" w:hAnsi="Lotus Linotype" w:cs="Lotus Linotype"/>
          <w:sz w:val="24"/>
          <w:szCs w:val="24"/>
          <w:rtl/>
        </w:rPr>
        <w:t>، المستنصرية، 1976، ص47.</w:t>
      </w:r>
    </w:p>
  </w:footnote>
  <w:footnote w:id="89">
    <w:p w14:paraId="16124429"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5</w:t>
      </w:r>
      <w:r w:rsidRPr="001B5175">
        <w:rPr>
          <w:rFonts w:ascii="Lotus Linotype" w:hAnsi="Lotus Linotype" w:cs="Lotus Linotype"/>
          <w:sz w:val="24"/>
          <w:szCs w:val="24"/>
          <w:rtl/>
        </w:rPr>
        <w:t>) رياض القيسي، المرجع السابق، ص303.</w:t>
      </w:r>
    </w:p>
  </w:footnote>
  <w:footnote w:id="90">
    <w:p w14:paraId="55CD940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الشافعي، </w:t>
      </w:r>
      <w:r w:rsidRPr="001B5175">
        <w:rPr>
          <w:rFonts w:ascii="Lotus Linotype" w:hAnsi="Lotus Linotype" w:cs="Lotus Linotype"/>
          <w:b/>
          <w:bCs/>
          <w:i/>
          <w:iCs/>
          <w:sz w:val="24"/>
          <w:szCs w:val="24"/>
          <w:rtl/>
        </w:rPr>
        <w:t>الأم</w:t>
      </w:r>
      <w:r w:rsidRPr="001B5175">
        <w:rPr>
          <w:rFonts w:ascii="Lotus Linotype" w:hAnsi="Lotus Linotype" w:cs="Lotus Linotype"/>
          <w:sz w:val="24"/>
          <w:szCs w:val="24"/>
          <w:rtl/>
        </w:rPr>
        <w:t>، ج3، ص75.</w:t>
      </w:r>
    </w:p>
  </w:footnote>
  <w:footnote w:id="91">
    <w:p w14:paraId="4AB41CFE"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ص121.</w:t>
      </w:r>
    </w:p>
  </w:footnote>
  <w:footnote w:id="92">
    <w:p w14:paraId="7AC9174F"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من علق طلاق زوجته ثلاثاً على شيء معين أو حلف بالطلاق ثلاثة انه لا يفعل كذا أو يفعله إذا تحقق المعلق عليه أو حلف اليمين يقع طلاقه ثلاثاً عند من يرى وقوع الطلاق الثلاث مرة واحدة، فوجد بعض الفقهاء حيلة للتخلص من ذلك ولاستبعاد وقوع طلاق زوجته طلاقاً بائناً بينونة كبرى، فقالوا هذا الشخص يعلق طلاق زوجته على شيء او حلف بالطلاق ثلاثة فقبل أن يتحقق المعلق عليه أو حنث اليمين يخالع زوجته أي يطلقها مقابل عوض حتى يكون طلاقها بائناً وبعد هذا الطلاق الذي يقع به طلقة واحدة يفعل الفعل المعلق عليه والفعل الذي حلف على فعله أو تركه ثم بعد ذلك يتزوج زوجته بعقد جديد، وبهذه الحيلة يستبعد وقوع طلاق زوجته بالبينونة الكبرى.</w:t>
      </w:r>
    </w:p>
  </w:footnote>
  <w:footnote w:id="93">
    <w:p w14:paraId="0F90262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محمد جواد العاملي، </w:t>
      </w:r>
      <w:r w:rsidRPr="001B5175">
        <w:rPr>
          <w:rFonts w:ascii="Lotus Linotype" w:hAnsi="Lotus Linotype" w:cs="Lotus Linotype"/>
          <w:b/>
          <w:bCs/>
          <w:i/>
          <w:iCs/>
          <w:sz w:val="24"/>
          <w:szCs w:val="24"/>
          <w:rtl/>
        </w:rPr>
        <w:t>مفتاح الكرامة في شرح قواعد العلامة</w:t>
      </w:r>
      <w:r w:rsidRPr="001B5175">
        <w:rPr>
          <w:rFonts w:ascii="Lotus Linotype" w:hAnsi="Lotus Linotype" w:cs="Lotus Linotype"/>
          <w:sz w:val="24"/>
          <w:szCs w:val="24"/>
          <w:rtl/>
        </w:rPr>
        <w:t>، كتاب المتاجر، مطبعة الشورى، مصر، ص33.</w:t>
      </w:r>
    </w:p>
  </w:footnote>
  <w:footnote w:id="94">
    <w:p w14:paraId="2813F10C"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(1) الكاساني، ج4، المرجع السابق، ص176.</w:t>
      </w:r>
    </w:p>
  </w:footnote>
  <w:footnote w:id="95">
    <w:p w14:paraId="2013152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w:t>
      </w:r>
      <w:r w:rsidRPr="001B5175">
        <w:rPr>
          <w:rFonts w:ascii="Lotus Linotype" w:hAnsi="Lotus Linotype" w:cs="Lotus Linotype"/>
          <w:sz w:val="24"/>
          <w:szCs w:val="24"/>
          <w:rtl/>
        </w:rPr>
        <w:t>المرجع نفسه، ج5، ص233.</w:t>
      </w:r>
    </w:p>
  </w:footnote>
  <w:footnote w:id="96">
    <w:p w14:paraId="171F511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المرجع نفسه، ص144.</w:t>
      </w:r>
    </w:p>
  </w:footnote>
  <w:footnote w:id="97">
    <w:p w14:paraId="277588C3"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(1) جميل الشرقاوي، </w:t>
      </w:r>
      <w:r w:rsidRPr="001B5175">
        <w:rPr>
          <w:rFonts w:ascii="Lotus Linotype" w:hAnsi="Lotus Linotype" w:cs="Lotus Linotype"/>
          <w:b/>
          <w:bCs/>
          <w:i/>
          <w:iCs/>
          <w:sz w:val="24"/>
          <w:szCs w:val="24"/>
          <w:rtl/>
        </w:rPr>
        <w:t>نظرية بطلان التصرف القانوني</w:t>
      </w:r>
      <w:r w:rsidRPr="001B5175">
        <w:rPr>
          <w:rFonts w:ascii="Lotus Linotype" w:hAnsi="Lotus Linotype" w:cs="Lotus Linotype"/>
          <w:sz w:val="24"/>
          <w:szCs w:val="24"/>
          <w:rtl/>
        </w:rPr>
        <w:t>، مطبعة جامعة القاهرة، مصر، 1956، ص302.</w:t>
      </w:r>
    </w:p>
  </w:footnote>
  <w:footnote w:id="98">
    <w:p w14:paraId="630C7249"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ومنهم الفقيه بوجيزان الي اشترط إلى وجوب الوصول إلى المساهمة في المعاوضات والاكتفاء بالعلم في التبرعات: </w:t>
      </w:r>
    </w:p>
  </w:footnote>
  <w:footnote w:id="99">
    <w:p w14:paraId="6F89455D" w14:textId="77777777" w:rsidR="008C0FB5" w:rsidRPr="001B5175" w:rsidRDefault="008C0FB5" w:rsidP="00E634C5">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السنهوري، </w:t>
      </w:r>
      <w:r w:rsidRPr="001B5175">
        <w:rPr>
          <w:rFonts w:ascii="Lotus Linotype" w:hAnsi="Lotus Linotype" w:cs="Lotus Linotype"/>
          <w:b/>
          <w:bCs/>
          <w:i/>
          <w:iCs/>
          <w:sz w:val="24"/>
          <w:szCs w:val="24"/>
          <w:rtl/>
        </w:rPr>
        <w:t>مصادر الحق</w:t>
      </w:r>
      <w:r w:rsidRPr="001B5175">
        <w:rPr>
          <w:rFonts w:ascii="Lotus Linotype" w:hAnsi="Lotus Linotype" w:cs="Lotus Linotype"/>
          <w:sz w:val="24"/>
          <w:szCs w:val="24"/>
          <w:rtl/>
        </w:rPr>
        <w:t>، ج4، ص27.</w:t>
      </w:r>
    </w:p>
  </w:footnote>
  <w:footnote w:id="100">
    <w:p w14:paraId="003701BE" w14:textId="77777777" w:rsidR="008C0FB5" w:rsidRPr="001B5175" w:rsidRDefault="008C0FB5" w:rsidP="0099696D">
      <w:pPr>
        <w:pStyle w:val="af"/>
        <w:ind w:left="0" w:firstLine="0"/>
        <w:rPr>
          <w:rFonts w:ascii="Lotus Linotype" w:hAnsi="Lotus Linotype" w:cs="Lotus Linotype"/>
          <w:sz w:val="24"/>
          <w:szCs w:val="24"/>
          <w:rtl/>
        </w:rPr>
      </w:pPr>
      <w:r>
        <w:rPr>
          <w:rFonts w:ascii="Lotus Linotype" w:hAnsi="Lotus Linotype" w:cs="Lotus Linotype" w:hint="cs"/>
          <w:sz w:val="24"/>
          <w:szCs w:val="24"/>
          <w:rtl/>
        </w:rPr>
        <w:t>(1</w:t>
      </w:r>
      <w:r w:rsidRPr="001B5175">
        <w:rPr>
          <w:rFonts w:ascii="Lotus Linotype" w:hAnsi="Lotus Linotype" w:cs="Lotus Linotype"/>
          <w:sz w:val="24"/>
          <w:szCs w:val="24"/>
          <w:rtl/>
        </w:rPr>
        <w:t xml:space="preserve">) علاء حسين علي الجوعاني، </w:t>
      </w:r>
      <w:r w:rsidRPr="001B5175">
        <w:rPr>
          <w:rFonts w:ascii="Lotus Linotype" w:hAnsi="Lotus Linotype" w:cs="Lotus Linotype"/>
          <w:b/>
          <w:bCs/>
          <w:i/>
          <w:iCs/>
          <w:sz w:val="24"/>
          <w:szCs w:val="24"/>
          <w:rtl/>
        </w:rPr>
        <w:t>مبدأ حسن النية في تكوين العقود</w:t>
      </w:r>
      <w:r w:rsidRPr="001B5175">
        <w:rPr>
          <w:rFonts w:ascii="Lotus Linotype" w:hAnsi="Lotus Linotype" w:cs="Lotus Linotype"/>
          <w:sz w:val="24"/>
          <w:szCs w:val="24"/>
          <w:rtl/>
        </w:rPr>
        <w:t>، رسالة ماجستير مقدمة إلى مجلس كلية النهرين للحقوق، جامعة النهرين ، 2002، ص56.</w:t>
      </w:r>
    </w:p>
  </w:footnote>
  <w:footnote w:id="101">
    <w:p w14:paraId="594A7A5D" w14:textId="77777777" w:rsidR="008C0FB5" w:rsidRPr="001B5175" w:rsidRDefault="008C0FB5" w:rsidP="00E634C5">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علاء حسين علي الجوعاني، </w:t>
      </w:r>
      <w:r w:rsidRPr="001B5175">
        <w:rPr>
          <w:rFonts w:ascii="Lotus Linotype" w:hAnsi="Lotus Linotype" w:cs="Lotus Linotype"/>
          <w:b/>
          <w:bCs/>
          <w:i/>
          <w:iCs/>
          <w:sz w:val="24"/>
          <w:szCs w:val="24"/>
          <w:rtl/>
        </w:rPr>
        <w:t>مبدأ حسن النية في تكوين العقود</w:t>
      </w:r>
      <w:r w:rsidRPr="001B5175">
        <w:rPr>
          <w:rFonts w:ascii="Lotus Linotype" w:hAnsi="Lotus Linotype" w:cs="Lotus Linotype"/>
          <w:sz w:val="24"/>
          <w:szCs w:val="24"/>
          <w:rtl/>
        </w:rPr>
        <w:t>، رسالة ماجستير مقدمة إلى مجلس كلية النهرين للحقوق، جامعة النهرين ، 2002، ص56.</w:t>
      </w:r>
    </w:p>
  </w:footnote>
  <w:footnote w:id="102">
    <w:p w14:paraId="19451F4D" w14:textId="77777777" w:rsidR="008C0FB5" w:rsidRPr="001B5175" w:rsidRDefault="008C0FB5" w:rsidP="0099696D">
      <w:pPr>
        <w:pStyle w:val="af"/>
        <w:ind w:left="0" w:firstLine="0"/>
        <w:rPr>
          <w:rFonts w:ascii="Lotus Linotype" w:hAnsi="Lotus Linotype" w:cs="Lotus Linotype"/>
          <w:sz w:val="24"/>
          <w:szCs w:val="24"/>
          <w:rtl/>
        </w:rPr>
      </w:pPr>
      <w:r>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القرار رقم 654/حقوقية 967 بتاريخ 4/12/1967، منشور في مجلة القصاء، ع1، س3، نقابة المحامين، مطبعة العاني، بغداد، 1968، ص66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71.</w:t>
      </w:r>
    </w:p>
  </w:footnote>
  <w:footnote w:id="103">
    <w:p w14:paraId="0BCE82D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وهذا ما نصت عليه المادة (137/1) مدني مصري والمادة (138/1) مدني سوري، (98/1) مدني جزائري، (137/1) مدني ليبي، وكذلك المادة (123/1) مدني سوداني.</w:t>
      </w:r>
    </w:p>
  </w:footnote>
  <w:footnote w:id="104">
    <w:p w14:paraId="0C7E895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سليمان مرقس، </w:t>
      </w:r>
      <w:r w:rsidRPr="001B5175">
        <w:rPr>
          <w:rFonts w:ascii="Lotus Linotype" w:hAnsi="Lotus Linotype" w:cs="Lotus Linotype"/>
          <w:b/>
          <w:bCs/>
          <w:i/>
          <w:iCs/>
          <w:sz w:val="24"/>
          <w:szCs w:val="24"/>
          <w:rtl/>
        </w:rPr>
        <w:t>الوافي</w:t>
      </w:r>
      <w:r w:rsidRPr="001B5175">
        <w:rPr>
          <w:rFonts w:ascii="Lotus Linotype" w:hAnsi="Lotus Linotype" w:cs="Lotus Linotype"/>
          <w:sz w:val="24"/>
          <w:szCs w:val="24"/>
          <w:rtl/>
        </w:rPr>
        <w:t>، المرجع السابق، ص305.</w:t>
      </w:r>
    </w:p>
  </w:footnote>
  <w:footnote w:id="105">
    <w:p w14:paraId="6D668AA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غني حسون طه، المرجع السابق، ص269.</w:t>
      </w:r>
    </w:p>
  </w:footnote>
  <w:footnote w:id="106">
    <w:p w14:paraId="11E29C5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(4) مصطفى محمد الجمال، المرجع السابق، ص185.</w:t>
      </w:r>
    </w:p>
  </w:footnote>
  <w:footnote w:id="107">
    <w:p w14:paraId="3D945D65"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(5) عبد الرزاق السنهوري، </w:t>
      </w:r>
      <w:r w:rsidRPr="001B5175">
        <w:rPr>
          <w:rFonts w:ascii="Lotus Linotype" w:hAnsi="Lotus Linotype" w:cs="Lotus Linotype"/>
          <w:b/>
          <w:bCs/>
          <w:i/>
          <w:iCs/>
          <w:sz w:val="24"/>
          <w:szCs w:val="24"/>
          <w:rtl/>
        </w:rPr>
        <w:t>الموجز في النظرية العامة للالتزامات</w:t>
      </w:r>
      <w:r w:rsidRPr="001B5175">
        <w:rPr>
          <w:rFonts w:ascii="Lotus Linotype" w:hAnsi="Lotus Linotype" w:cs="Lotus Linotype"/>
          <w:sz w:val="24"/>
          <w:szCs w:val="24"/>
          <w:rtl/>
        </w:rPr>
        <w:t>، ج1، مصادر الالتزام، مطبعة لجنة التأليف والترجمة والنشر، القاهرة، 1938، ص176.</w:t>
      </w:r>
    </w:p>
  </w:footnote>
  <w:footnote w:id="108">
    <w:p w14:paraId="7FCFB07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عبد المجيد الحكيم، الموجز، المرجع السابق، ص223، غني حسون طه، المرجع السابق، ص268.</w:t>
      </w:r>
    </w:p>
  </w:footnote>
  <w:footnote w:id="109">
    <w:p w14:paraId="5DB2086B"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إسماعيل غانم، </w:t>
      </w:r>
      <w:r w:rsidRPr="001B5175">
        <w:rPr>
          <w:rFonts w:ascii="Lotus Linotype" w:hAnsi="Lotus Linotype" w:cs="Lotus Linotype"/>
          <w:b/>
          <w:bCs/>
          <w:i/>
          <w:iCs/>
          <w:sz w:val="24"/>
          <w:szCs w:val="24"/>
          <w:rtl/>
        </w:rPr>
        <w:t>النظرية العامة للالتزامات</w:t>
      </w:r>
      <w:r w:rsidRPr="001B5175">
        <w:rPr>
          <w:rFonts w:ascii="Lotus Linotype" w:hAnsi="Lotus Linotype" w:cs="Lotus Linotype"/>
          <w:sz w:val="24"/>
          <w:szCs w:val="24"/>
          <w:rtl/>
        </w:rPr>
        <w:t>، ح1، مصادر الالتزام، الناشر مكتبة عبد الله وهبة، عابدين، مصر، 1966، ص273.</w:t>
      </w:r>
    </w:p>
  </w:footnote>
  <w:footnote w:id="110">
    <w:p w14:paraId="11F9D175"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إسماعيل غانم، المرجع السابق، ص274.</w:t>
      </w:r>
    </w:p>
  </w:footnote>
  <w:footnote w:id="111">
    <w:p w14:paraId="37E52E2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محمد حسن قاسم ، مرجع سابق ، ص218-219 </w:t>
      </w:r>
    </w:p>
  </w:footnote>
  <w:footnote w:id="112">
    <w:p w14:paraId="6E284DEE"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(2)عبد الله الجليلي، المرجع السابق، ص405.</w:t>
      </w:r>
    </w:p>
  </w:footnote>
  <w:footnote w:id="113">
    <w:p w14:paraId="1B429368" w14:textId="77777777" w:rsidR="008C0FB5" w:rsidRPr="001B5175" w:rsidRDefault="008C0FB5" w:rsidP="00E634C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صبحي المحمصاني، </w:t>
      </w:r>
      <w:r w:rsidRPr="001B5175">
        <w:rPr>
          <w:rFonts w:ascii="Lotus Linotype" w:hAnsi="Lotus Linotype" w:cs="Lotus Linotype"/>
          <w:b/>
          <w:bCs/>
          <w:i/>
          <w:iCs/>
          <w:sz w:val="24"/>
          <w:szCs w:val="24"/>
          <w:rtl/>
        </w:rPr>
        <w:t>النظرية العامة للموجبات</w:t>
      </w:r>
      <w:r w:rsidRPr="001B5175">
        <w:rPr>
          <w:rFonts w:ascii="Lotus Linotype" w:hAnsi="Lotus Linotype" w:cs="Lotus Linotype"/>
          <w:sz w:val="24"/>
          <w:szCs w:val="24"/>
          <w:rtl/>
        </w:rPr>
        <w:t xml:space="preserve">، ج2، ط2، دار العلم للملايين، بيروت، 1972، ص95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96. </w:t>
      </w:r>
    </w:p>
  </w:footnote>
  <w:footnote w:id="114">
    <w:p w14:paraId="641DBEA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 (1) عبد المنعم البدراوي، المرجع السابق، ص365.</w:t>
      </w:r>
    </w:p>
  </w:footnote>
  <w:footnote w:id="115">
    <w:p w14:paraId="64278CD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صبحي المحم</w:t>
      </w:r>
      <w:r w:rsidRPr="001B5175">
        <w:rPr>
          <w:rFonts w:ascii="Lotus Linotype" w:hAnsi="Lotus Linotype" w:cs="Lotus Linotype"/>
          <w:sz w:val="24"/>
          <w:szCs w:val="24"/>
          <w:rtl/>
        </w:rPr>
        <w:t xml:space="preserve">صاني، المرجع السابق، ص95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96.</w:t>
      </w:r>
    </w:p>
  </w:footnote>
  <w:footnote w:id="116">
    <w:p w14:paraId="5C5215B3" w14:textId="77777777" w:rsidR="008C0FB5" w:rsidRPr="001B5175" w:rsidRDefault="008C0FB5" w:rsidP="00FB0835">
      <w:pPr>
        <w:pStyle w:val="af"/>
        <w:bidi w:val="0"/>
        <w:ind w:left="0" w:firstLine="0"/>
        <w:rPr>
          <w:rFonts w:ascii="Times New Roman" w:hAnsi="Times New Roman" w:cs="Times New Roman"/>
          <w:sz w:val="24"/>
          <w:szCs w:val="24"/>
          <w:rtl/>
        </w:rPr>
      </w:pPr>
      <w:r w:rsidRPr="001B5175">
        <w:rPr>
          <w:rFonts w:ascii="Times New Roman" w:hAnsi="Times New Roman" w:cs="Saihat"/>
          <w:sz w:val="24"/>
          <w:szCs w:val="24"/>
        </w:rPr>
        <w:t>(</w:t>
      </w:r>
      <w:r w:rsidRPr="001B5175">
        <w:rPr>
          <w:rFonts w:ascii="Times New Roman" w:hAnsi="Times New Roman" w:cs="Saihat"/>
          <w:sz w:val="24"/>
          <w:szCs w:val="24"/>
        </w:rPr>
        <w:footnoteRef/>
      </w:r>
      <w:r w:rsidRPr="001B5175">
        <w:rPr>
          <w:rFonts w:ascii="Times New Roman" w:hAnsi="Times New Roman" w:cs="Saihat"/>
          <w:sz w:val="24"/>
          <w:szCs w:val="24"/>
        </w:rPr>
        <w:t>)</w:t>
      </w:r>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Frejaville</w:t>
      </w:r>
      <w:proofErr w:type="spellEnd"/>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Op. Cit.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244.</w:t>
      </w:r>
    </w:p>
  </w:footnote>
  <w:footnote w:id="117">
    <w:p w14:paraId="541763D2"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(2) مختار القاضي، المرجع السابق، ص143.</w:t>
      </w:r>
    </w:p>
  </w:footnote>
  <w:footnote w:id="118">
    <w:p w14:paraId="205D496E"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w:t>
      </w:r>
      <w:r w:rsidRPr="001B5175">
        <w:rPr>
          <w:rFonts w:ascii="Lotus Linotype" w:hAnsi="Lotus Linotype" w:cs="Lotus Linotype"/>
          <w:sz w:val="24"/>
          <w:szCs w:val="24"/>
          <w:rtl/>
        </w:rPr>
        <w:t xml:space="preserve">السنهوري، </w:t>
      </w:r>
      <w:r w:rsidRPr="001B5175">
        <w:rPr>
          <w:rFonts w:ascii="Lotus Linotype" w:hAnsi="Lotus Linotype" w:cs="Lotus Linotype"/>
          <w:b/>
          <w:bCs/>
          <w:i/>
          <w:iCs/>
          <w:sz w:val="24"/>
          <w:szCs w:val="24"/>
          <w:rtl/>
        </w:rPr>
        <w:t>الوسيط</w:t>
      </w:r>
      <w:r w:rsidRPr="001B5175">
        <w:rPr>
          <w:rFonts w:ascii="Lotus Linotype" w:hAnsi="Lotus Linotype" w:cs="Lotus Linotype"/>
          <w:sz w:val="24"/>
          <w:szCs w:val="24"/>
          <w:rtl/>
        </w:rPr>
        <w:t>، ج1، ص560.</w:t>
      </w:r>
    </w:p>
  </w:footnote>
  <w:footnote w:id="119">
    <w:p w14:paraId="35D6C825"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عبد المجيد الحكيم، الموجز، المرجع السابق، ص263.</w:t>
      </w:r>
    </w:p>
  </w:footnote>
  <w:footnote w:id="120">
    <w:p w14:paraId="0BC8FC5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عبد الباقي البكري، </w:t>
      </w:r>
      <w:r w:rsidRPr="001B5175">
        <w:rPr>
          <w:rFonts w:ascii="Lotus Linotype" w:hAnsi="Lotus Linotype" w:cs="Lotus Linotype"/>
          <w:b/>
          <w:bCs/>
          <w:i/>
          <w:iCs/>
          <w:sz w:val="24"/>
          <w:szCs w:val="24"/>
          <w:rtl/>
        </w:rPr>
        <w:t>شرح القانون المدني</w:t>
      </w:r>
      <w:r w:rsidRPr="001B5175">
        <w:rPr>
          <w:rFonts w:ascii="Lotus Linotype" w:hAnsi="Lotus Linotype" w:cs="Lotus Linotype"/>
          <w:sz w:val="24"/>
          <w:szCs w:val="24"/>
          <w:rtl/>
        </w:rPr>
        <w:t>، ج3، في أحكام الالتزام وتنفيذ الالتزام، دراسة مقارنة، مطبعة الزهراء، 1971، ص305.</w:t>
      </w:r>
    </w:p>
  </w:footnote>
  <w:footnote w:id="121">
    <w:p w14:paraId="3885B20E"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عبد المنعم البدراوي، </w:t>
      </w:r>
      <w:r w:rsidRPr="001B5175">
        <w:rPr>
          <w:rFonts w:ascii="Lotus Linotype" w:hAnsi="Lotus Linotype" w:cs="Lotus Linotype"/>
          <w:b/>
          <w:bCs/>
          <w:i/>
          <w:iCs/>
          <w:sz w:val="24"/>
          <w:szCs w:val="24"/>
          <w:rtl/>
        </w:rPr>
        <w:t>النظرية العامة للالتزام في القانون المدني المصري</w:t>
      </w:r>
      <w:r w:rsidRPr="001B5175">
        <w:rPr>
          <w:rFonts w:ascii="Lotus Linotype" w:hAnsi="Lotus Linotype" w:cs="Lotus Linotype"/>
          <w:sz w:val="24"/>
          <w:szCs w:val="24"/>
          <w:rtl/>
        </w:rPr>
        <w:t>، ج2، أحكام الالتزام، بدون مكان وسنة الطبع، ص156.</w:t>
      </w:r>
    </w:p>
  </w:footnote>
  <w:footnote w:id="122">
    <w:p w14:paraId="7C0CA71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انظر المادة (8) من القانون المدني العراقي.</w:t>
      </w:r>
    </w:p>
  </w:footnote>
  <w:footnote w:id="123">
    <w:p w14:paraId="0C73F02F"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أنور سلطان، </w:t>
      </w:r>
      <w:r w:rsidRPr="001B5175">
        <w:rPr>
          <w:rFonts w:ascii="Lotus Linotype" w:hAnsi="Lotus Linotype" w:cs="Lotus Linotype"/>
          <w:b/>
          <w:bCs/>
          <w:i/>
          <w:iCs/>
          <w:sz w:val="24"/>
          <w:szCs w:val="24"/>
          <w:rtl/>
        </w:rPr>
        <w:t>النظرية العامة للالتزام</w:t>
      </w:r>
      <w:r w:rsidRPr="001B5175">
        <w:rPr>
          <w:rFonts w:ascii="Lotus Linotype" w:hAnsi="Lotus Linotype" w:cs="Lotus Linotype"/>
          <w:sz w:val="24"/>
          <w:szCs w:val="24"/>
          <w:rtl/>
        </w:rPr>
        <w:t>، ج2، أحكام الالتزام، دار المطبوعات الجامعية، الإسكندرية، 1997، ص41.</w:t>
      </w:r>
    </w:p>
  </w:footnote>
  <w:footnote w:id="124">
    <w:p w14:paraId="56D1FD3C"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عبد المجيد الحكيم، عبد الباقي البكري، محمد طه البشير، </w:t>
      </w:r>
      <w:r w:rsidRPr="001B5175">
        <w:rPr>
          <w:rFonts w:ascii="Lotus Linotype" w:hAnsi="Lotus Linotype" w:cs="Lotus Linotype"/>
          <w:b/>
          <w:bCs/>
          <w:i/>
          <w:iCs/>
          <w:sz w:val="24"/>
          <w:szCs w:val="24"/>
          <w:rtl/>
        </w:rPr>
        <w:t>الوجيز في نظرية الالتزام في القانون العراقي</w:t>
      </w:r>
      <w:r w:rsidRPr="001B5175">
        <w:rPr>
          <w:rFonts w:ascii="Lotus Linotype" w:hAnsi="Lotus Linotype" w:cs="Lotus Linotype"/>
          <w:sz w:val="24"/>
          <w:szCs w:val="24"/>
          <w:rtl/>
        </w:rPr>
        <w:t>، ج1، مصادر الالتزام، 1986، ص331.</w:t>
      </w:r>
    </w:p>
  </w:footnote>
  <w:footnote w:id="125">
    <w:p w14:paraId="50ECCF8C"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منذر الفضل، </w:t>
      </w:r>
      <w:r w:rsidRPr="001B5175">
        <w:rPr>
          <w:rFonts w:ascii="Lotus Linotype" w:hAnsi="Lotus Linotype" w:cs="Lotus Linotype"/>
          <w:b/>
          <w:bCs/>
          <w:i/>
          <w:iCs/>
          <w:sz w:val="24"/>
          <w:szCs w:val="24"/>
          <w:rtl/>
        </w:rPr>
        <w:t>النظرية العامة للالتزامات</w:t>
      </w:r>
      <w:r w:rsidRPr="001B5175">
        <w:rPr>
          <w:rFonts w:ascii="Lotus Linotype" w:hAnsi="Lotus Linotype" w:cs="Lotus Linotype"/>
          <w:sz w:val="24"/>
          <w:szCs w:val="24"/>
          <w:rtl/>
        </w:rPr>
        <w:t>، ط1، ج1، مصادر الالتزام، 1991، ص328.</w:t>
      </w:r>
    </w:p>
  </w:footnote>
  <w:footnote w:id="126">
    <w:p w14:paraId="27E30527"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عبد الحي حجازي، </w:t>
      </w:r>
      <w:r w:rsidRPr="001B5175">
        <w:rPr>
          <w:rFonts w:ascii="Lotus Linotype" w:hAnsi="Lotus Linotype" w:cs="Lotus Linotype"/>
          <w:b/>
          <w:bCs/>
          <w:i/>
          <w:iCs/>
          <w:sz w:val="24"/>
          <w:szCs w:val="24"/>
          <w:rtl/>
        </w:rPr>
        <w:t>النظرية العامة للالتزامات</w:t>
      </w:r>
      <w:r w:rsidRPr="001B5175">
        <w:rPr>
          <w:rFonts w:ascii="Lotus Linotype" w:hAnsi="Lotus Linotype" w:cs="Lotus Linotype"/>
          <w:sz w:val="24"/>
          <w:szCs w:val="24"/>
          <w:rtl/>
        </w:rPr>
        <w:t xml:space="preserve">، ج2، مصادر الالتزام، 1954، ص67، وانظر كذلك عز الدين بحر العلوم، </w:t>
      </w:r>
      <w:r w:rsidRPr="001B5175">
        <w:rPr>
          <w:rFonts w:ascii="Lotus Linotype" w:hAnsi="Lotus Linotype" w:cs="Lotus Linotype"/>
          <w:b/>
          <w:bCs/>
          <w:i/>
          <w:iCs/>
          <w:sz w:val="24"/>
          <w:szCs w:val="24"/>
          <w:rtl/>
        </w:rPr>
        <w:t>بحوث فقهية</w:t>
      </w:r>
      <w:r w:rsidRPr="001B5175">
        <w:rPr>
          <w:rFonts w:ascii="Lotus Linotype" w:hAnsi="Lotus Linotype" w:cs="Lotus Linotype"/>
          <w:sz w:val="24"/>
          <w:szCs w:val="24"/>
          <w:rtl/>
        </w:rPr>
        <w:t>، ط4، مطبعة الديواني، بغداد، 1990، هامش 1، ص21.</w:t>
      </w:r>
    </w:p>
  </w:footnote>
  <w:footnote w:id="127">
    <w:p w14:paraId="4B497419"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حسن علي الذنون، </w:t>
      </w:r>
      <w:r w:rsidRPr="001B5175">
        <w:rPr>
          <w:rFonts w:ascii="Lotus Linotype" w:hAnsi="Lotus Linotype" w:cs="Lotus Linotype"/>
          <w:b/>
          <w:bCs/>
          <w:i/>
          <w:iCs/>
          <w:sz w:val="24"/>
          <w:szCs w:val="24"/>
          <w:rtl/>
        </w:rPr>
        <w:t>الاشتراط لمصلحة الغير</w:t>
      </w:r>
      <w:r w:rsidRPr="001B5175">
        <w:rPr>
          <w:rFonts w:ascii="Lotus Linotype" w:hAnsi="Lotus Linotype" w:cs="Lotus Linotype"/>
          <w:sz w:val="24"/>
          <w:szCs w:val="24"/>
          <w:rtl/>
        </w:rPr>
        <w:t>، من منشورات رابطة خريجي الجامعات والمعاهد المصرية، شركة الرابطة للطباعة والنشر المحدودة، بغداد، 1954، ص45.</w:t>
      </w:r>
    </w:p>
  </w:footnote>
  <w:footnote w:id="128">
    <w:p w14:paraId="5BF7AF22"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محمد علي عرفة، </w:t>
      </w:r>
      <w:r w:rsidRPr="001B5175">
        <w:rPr>
          <w:rFonts w:ascii="Lotus Linotype" w:hAnsi="Lotus Linotype" w:cs="Lotus Linotype"/>
          <w:b/>
          <w:bCs/>
          <w:i/>
          <w:iCs/>
          <w:sz w:val="24"/>
          <w:szCs w:val="24"/>
          <w:rtl/>
        </w:rPr>
        <w:t>شرح القانون المدني الجديد في التأمين والعقود الصغيرة</w:t>
      </w:r>
      <w:r w:rsidRPr="001B5175">
        <w:rPr>
          <w:rFonts w:ascii="Lotus Linotype" w:hAnsi="Lotus Linotype" w:cs="Lotus Linotype"/>
          <w:sz w:val="24"/>
          <w:szCs w:val="24"/>
          <w:rtl/>
        </w:rPr>
        <w:t>، القاهرة، 1975، ص99.</w:t>
      </w:r>
    </w:p>
  </w:footnote>
  <w:footnote w:id="129">
    <w:p w14:paraId="48069334"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أحمد شرف الدين، </w:t>
      </w:r>
      <w:r w:rsidRPr="001B5175">
        <w:rPr>
          <w:rFonts w:ascii="Lotus Linotype" w:hAnsi="Lotus Linotype" w:cs="Lotus Linotype"/>
          <w:b/>
          <w:bCs/>
          <w:i/>
          <w:iCs/>
          <w:sz w:val="24"/>
          <w:szCs w:val="24"/>
          <w:rtl/>
        </w:rPr>
        <w:t>أحكام التأمين في القانون والقضاء</w:t>
      </w:r>
      <w:r w:rsidRPr="001B5175">
        <w:rPr>
          <w:rFonts w:ascii="Lotus Linotype" w:hAnsi="Lotus Linotype" w:cs="Lotus Linotype"/>
          <w:sz w:val="24"/>
          <w:szCs w:val="24"/>
          <w:rtl/>
        </w:rPr>
        <w:t xml:space="preserve">، مطبعة حسان، القاهرة، 1987، ص197. </w:t>
      </w:r>
    </w:p>
  </w:footnote>
  <w:footnote w:id="130">
    <w:p w14:paraId="3F4A024A"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(1) سورة الذاريات: الآية 56.</w:t>
      </w:r>
    </w:p>
  </w:footnote>
  <w:footnote w:id="131">
    <w:p w14:paraId="1546A6E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w:t>
      </w:r>
      <w:r w:rsidRPr="001B5175">
        <w:rPr>
          <w:rFonts w:ascii="Lotus Linotype" w:hAnsi="Lotus Linotype" w:cs="Lotus Linotype"/>
          <w:sz w:val="24"/>
          <w:szCs w:val="24"/>
          <w:rtl/>
        </w:rPr>
        <w:t>سورة البينة: الآية 5.</w:t>
      </w:r>
    </w:p>
  </w:footnote>
  <w:footnote w:id="132">
    <w:p w14:paraId="527DB379"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فتحي الدريني، المرجع السابق، ص78.</w:t>
      </w:r>
    </w:p>
  </w:footnote>
  <w:footnote w:id="133">
    <w:p w14:paraId="3B5B14B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(1)إن المقاصد الأساسية في الشريعة الإسلامية منقسمة إلى ثلاثة أقسام بحسب أهميتها هي:</w:t>
      </w:r>
    </w:p>
    <w:p w14:paraId="30361EE0" w14:textId="77777777" w:rsidR="008C0FB5" w:rsidRPr="001B5175" w:rsidRDefault="008C0FB5" w:rsidP="00202833">
      <w:pPr>
        <w:pStyle w:val="af"/>
        <w:ind w:left="284" w:firstLine="0"/>
        <w:rPr>
          <w:rFonts w:ascii="Lotus Linotype" w:hAnsi="Lotus Linotype" w:cs="Lotus Linotype"/>
          <w:sz w:val="24"/>
          <w:szCs w:val="24"/>
          <w:rtl/>
        </w:rPr>
      </w:pPr>
      <w:r w:rsidRPr="001B5175">
        <w:rPr>
          <w:rFonts w:ascii="Lotus Linotype" w:hAnsi="Lotus Linotype" w:cs="Lotus Linotype"/>
          <w:sz w:val="24"/>
          <w:szCs w:val="24"/>
          <w:rtl/>
        </w:rPr>
        <w:t>1- المقاصد الضرورية: هي المقاصد الإلهية التي تبنى عليها حياة الأمم والأفراد والجماعات فمتى انحرفت هذه الضروريات كلها أو بعضها إلا وتأثرت حياة الناس تأثراً كبيراً يؤدي بهم قطعاً إلى اختلال مباشر في نظام حياتهم فتفسد عقولهم، وتتعطل أمورهم وتعمهم الفوضى والاضطراب والفساد، ويستولي على أقوالهم وأفعالهم الانهيار العصبي ولانحطاط والخراب ويتجلى ذلك في أخلاقهم وسلوكهم وحياتهم بصفة عامة، وترجع هذه الضروريات إلى خمسة أنواع (حفظ الدين، والنفس، والعرض، والمال، والعقل).</w:t>
      </w:r>
    </w:p>
    <w:p w14:paraId="274B36EB" w14:textId="77777777" w:rsidR="008C0FB5" w:rsidRPr="001B5175" w:rsidRDefault="008C0FB5" w:rsidP="00202833">
      <w:pPr>
        <w:pStyle w:val="af"/>
        <w:ind w:left="284" w:firstLine="0"/>
        <w:rPr>
          <w:rFonts w:ascii="Lotus Linotype" w:hAnsi="Lotus Linotype" w:cs="Lotus Linotype"/>
          <w:sz w:val="24"/>
          <w:szCs w:val="24"/>
          <w:rtl/>
        </w:rPr>
      </w:pPr>
      <w:r w:rsidRPr="001B5175">
        <w:rPr>
          <w:rFonts w:ascii="Lotus Linotype" w:hAnsi="Lotus Linotype" w:cs="Lotus Linotype"/>
          <w:sz w:val="24"/>
          <w:szCs w:val="24"/>
          <w:rtl/>
        </w:rPr>
        <w:t>2- المقاصد الحاجية: وهي التي كون المجتمع في حاجة ماسة إليها لأنها تسهل للناس حياتهم وترفع الحرج والمشقة عنهم بحيث لو اختل كلها أو بعضها وقعوا في الحرج ولحقتهم المشقة من غير أن يختل نظام الحياة كما هو الشأن بالنسبة للضروريات.</w:t>
      </w:r>
    </w:p>
    <w:p w14:paraId="0B868A0D" w14:textId="77777777" w:rsidR="008C0FB5" w:rsidRPr="001B5175" w:rsidRDefault="008C0FB5" w:rsidP="00202833">
      <w:pPr>
        <w:pStyle w:val="af"/>
        <w:ind w:left="284" w:firstLine="0"/>
        <w:rPr>
          <w:rFonts w:ascii="Lotus Linotype" w:hAnsi="Lotus Linotype" w:cs="Lotus Linotype"/>
          <w:sz w:val="24"/>
          <w:szCs w:val="24"/>
          <w:rtl/>
        </w:rPr>
      </w:pPr>
      <w:r w:rsidRPr="001B5175">
        <w:rPr>
          <w:rFonts w:ascii="Lotus Linotype" w:hAnsi="Lotus Linotype" w:cs="Lotus Linotype"/>
          <w:sz w:val="24"/>
          <w:szCs w:val="24"/>
          <w:rtl/>
        </w:rPr>
        <w:t xml:space="preserve">3- المقاصد التحسينية: وهي التي لا يختل نظام الحياة ولا يقع الإنسان في ضيق وحرج ومشقة بتخلفها كلها أو بعضها، ولكنها لا يستغني عنها الإنسان في وصوله للكمال وتحليه بالمحاسن وتخليه عن الرذائل. </w:t>
      </w:r>
    </w:p>
    <w:p w14:paraId="436ABC6F" w14:textId="77777777" w:rsidR="008C0FB5" w:rsidRPr="001B5175" w:rsidRDefault="008C0FB5" w:rsidP="00202833">
      <w:pPr>
        <w:pStyle w:val="af"/>
        <w:ind w:left="284" w:firstLine="0"/>
        <w:rPr>
          <w:rFonts w:ascii="Lotus Linotype" w:hAnsi="Lotus Linotype" w:cs="Lotus Linotype"/>
          <w:sz w:val="24"/>
          <w:szCs w:val="24"/>
          <w:rtl/>
        </w:rPr>
      </w:pPr>
      <w:r w:rsidRPr="001B5175">
        <w:rPr>
          <w:rFonts w:ascii="Lotus Linotype" w:hAnsi="Lotus Linotype" w:cs="Lotus Linotype"/>
          <w:sz w:val="24"/>
          <w:szCs w:val="24"/>
          <w:rtl/>
        </w:rPr>
        <w:t>هذه هي المقاصد الأساسية، وللمزيد من التفاصيل انظر في ذلك: محمد الزجيلي، مقاصد الشريعة، بحث منشور في مجلة كلية الشريعة والدراسات الإسلامية، ع6، س6، 1403هـ، مكة المكرمة، ص317، عمر الجيدي، التشريع الإسلامي، أصوله ومقاصده، ط1، المغرب، 1986، ص250، محمد تقي الحكيم، الأصول العامة للفقه المقارن، دار الأندلس للطباعة والنشر، بيروت، 1963، ص382.</w:t>
      </w:r>
    </w:p>
  </w:footnote>
  <w:footnote w:id="134">
    <w:p w14:paraId="70CBD28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ص135.</w:t>
      </w:r>
    </w:p>
  </w:footnote>
  <w:footnote w:id="135">
    <w:p w14:paraId="56577315"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ابن عبد السلام عز الدين، </w:t>
      </w:r>
      <w:r w:rsidRPr="001B5175">
        <w:rPr>
          <w:rFonts w:ascii="Lotus Linotype" w:hAnsi="Lotus Linotype" w:cs="Lotus Linotype"/>
          <w:b/>
          <w:bCs/>
          <w:i/>
          <w:iCs/>
          <w:sz w:val="24"/>
          <w:szCs w:val="24"/>
          <w:rtl/>
        </w:rPr>
        <w:t>قواعد الأحكام في مصالح الأنام</w:t>
      </w:r>
      <w:r w:rsidRPr="001B5175">
        <w:rPr>
          <w:rFonts w:ascii="Lotus Linotype" w:hAnsi="Lotus Linotype" w:cs="Lotus Linotype"/>
          <w:sz w:val="24"/>
          <w:szCs w:val="24"/>
          <w:rtl/>
        </w:rPr>
        <w:t>، ج1، المطبعة الحسينية، القاهرة، 1352هـ، ص51.</w:t>
      </w:r>
    </w:p>
  </w:footnote>
  <w:footnote w:id="136">
    <w:p w14:paraId="73E6CCC2"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القرافي، </w:t>
      </w:r>
      <w:r w:rsidRPr="001B5175">
        <w:rPr>
          <w:rFonts w:ascii="Lotus Linotype" w:hAnsi="Lotus Linotype" w:cs="Lotus Linotype"/>
          <w:b/>
          <w:bCs/>
          <w:i/>
          <w:iCs/>
          <w:sz w:val="24"/>
          <w:szCs w:val="24"/>
          <w:rtl/>
        </w:rPr>
        <w:t>الفروق</w:t>
      </w:r>
      <w:r w:rsidRPr="001B5175">
        <w:rPr>
          <w:rFonts w:ascii="Lotus Linotype" w:hAnsi="Lotus Linotype" w:cs="Lotus Linotype"/>
          <w:sz w:val="24"/>
          <w:szCs w:val="24"/>
          <w:rtl/>
        </w:rPr>
        <w:t>، ج2، مطبعة الضياء، دار الكتب العربية، القاهرة، 1347، ص33.</w:t>
      </w:r>
    </w:p>
  </w:footnote>
  <w:footnote w:id="137">
    <w:p w14:paraId="784A3066"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سورة البقرة: الآية 216.</w:t>
      </w:r>
    </w:p>
  </w:footnote>
  <w:footnote w:id="138">
    <w:p w14:paraId="512FB80F"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محمد علي الصابوني، </w:t>
      </w:r>
      <w:r w:rsidRPr="001B5175">
        <w:rPr>
          <w:rFonts w:ascii="Lotus Linotype" w:hAnsi="Lotus Linotype" w:cs="Lotus Linotype"/>
          <w:b/>
          <w:bCs/>
          <w:i/>
          <w:iCs/>
          <w:sz w:val="24"/>
          <w:szCs w:val="24"/>
          <w:rtl/>
        </w:rPr>
        <w:t>صفوة التفاسير</w:t>
      </w:r>
      <w:r w:rsidRPr="001B5175">
        <w:rPr>
          <w:rFonts w:ascii="Lotus Linotype" w:hAnsi="Lotus Linotype" w:cs="Lotus Linotype"/>
          <w:sz w:val="24"/>
          <w:szCs w:val="24"/>
          <w:rtl/>
        </w:rPr>
        <w:t>، ج1، دار الفكر العربي، بيروت، ص137.</w:t>
      </w:r>
    </w:p>
  </w:footnote>
  <w:footnote w:id="139">
    <w:p w14:paraId="2EB4ECCB"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xml:space="preserve">) متفق عليه، الصنعاني محمد إسماعيل، </w:t>
      </w:r>
      <w:r w:rsidRPr="001B5175">
        <w:rPr>
          <w:rFonts w:ascii="Lotus Linotype" w:hAnsi="Lotus Linotype" w:cs="Lotus Linotype"/>
          <w:b/>
          <w:bCs/>
          <w:i/>
          <w:iCs/>
          <w:sz w:val="24"/>
          <w:szCs w:val="24"/>
          <w:rtl/>
        </w:rPr>
        <w:t>سبل السلام شرح بلوغ المرام</w:t>
      </w:r>
      <w:r w:rsidRPr="001B5175">
        <w:rPr>
          <w:rFonts w:ascii="Lotus Linotype" w:hAnsi="Lotus Linotype" w:cs="Lotus Linotype"/>
          <w:sz w:val="24"/>
          <w:szCs w:val="24"/>
          <w:rtl/>
        </w:rPr>
        <w:t>، ج4، بيروت، 1980، ص1604.</w:t>
      </w:r>
    </w:p>
  </w:footnote>
  <w:footnote w:id="140">
    <w:p w14:paraId="6DECFD50"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5</w:t>
      </w:r>
      <w:r w:rsidRPr="001B5175">
        <w:rPr>
          <w:rFonts w:ascii="Lotus Linotype" w:hAnsi="Lotus Linotype" w:cs="Lotus Linotype"/>
          <w:sz w:val="24"/>
          <w:szCs w:val="24"/>
          <w:rtl/>
        </w:rPr>
        <w:t xml:space="preserve">)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ص130.</w:t>
      </w:r>
    </w:p>
  </w:footnote>
  <w:footnote w:id="141">
    <w:p w14:paraId="37BED089"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ابن تيمية، </w:t>
      </w:r>
      <w:r w:rsidRPr="001B5175">
        <w:rPr>
          <w:rFonts w:ascii="Lotus Linotype" w:hAnsi="Lotus Linotype" w:cs="Lotus Linotype"/>
          <w:b/>
          <w:bCs/>
          <w:i/>
          <w:iCs/>
          <w:sz w:val="24"/>
          <w:szCs w:val="24"/>
          <w:rtl/>
        </w:rPr>
        <w:t>فتاوى ابن تيمية</w:t>
      </w:r>
      <w:r w:rsidRPr="001B5175">
        <w:rPr>
          <w:rFonts w:ascii="Lotus Linotype" w:hAnsi="Lotus Linotype" w:cs="Lotus Linotype"/>
          <w:sz w:val="24"/>
          <w:szCs w:val="24"/>
          <w:rtl/>
        </w:rPr>
        <w:t>، ج3، ص139.</w:t>
      </w:r>
    </w:p>
  </w:footnote>
  <w:footnote w:id="142">
    <w:p w14:paraId="2E52F5F5"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ج4، ص198.</w:t>
      </w:r>
    </w:p>
  </w:footnote>
  <w:footnote w:id="143">
    <w:p w14:paraId="3FB277D8"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انظر في ذلك: مصطفى إبراهيم الزلمي وعبد الباقي البكري، </w:t>
      </w:r>
      <w:r w:rsidRPr="001B5175">
        <w:rPr>
          <w:rFonts w:ascii="Lotus Linotype" w:hAnsi="Lotus Linotype" w:cs="Lotus Linotype"/>
          <w:b/>
          <w:bCs/>
          <w:i/>
          <w:iCs/>
          <w:sz w:val="24"/>
          <w:szCs w:val="24"/>
          <w:rtl/>
        </w:rPr>
        <w:t>المدخل لدراسة الشريعة الإسلامية</w:t>
      </w:r>
      <w:r w:rsidRPr="001B5175">
        <w:rPr>
          <w:rFonts w:ascii="Lotus Linotype" w:hAnsi="Lotus Linotype" w:cs="Lotus Linotype"/>
          <w:sz w:val="24"/>
          <w:szCs w:val="24"/>
          <w:rtl/>
        </w:rPr>
        <w:t>، بغداد، 1989، ص122.</w:t>
      </w:r>
    </w:p>
  </w:footnote>
  <w:footnote w:id="144">
    <w:p w14:paraId="3CAC6A04"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الشاطبي، الموافقات، ج4، ص198.</w:t>
      </w:r>
    </w:p>
  </w:footnote>
  <w:footnote w:id="145">
    <w:p w14:paraId="3D6BFF68"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حسين حامد، </w:t>
      </w:r>
      <w:r w:rsidRPr="001B5175">
        <w:rPr>
          <w:rFonts w:ascii="Lotus Linotype" w:hAnsi="Lotus Linotype" w:cs="Lotus Linotype"/>
          <w:b/>
          <w:bCs/>
          <w:i/>
          <w:iCs/>
          <w:sz w:val="24"/>
          <w:szCs w:val="24"/>
          <w:rtl/>
        </w:rPr>
        <w:t>مقاصد الشريعة وطرق الاجتهاد التي ترجع إليها، طبعة خاصة</w:t>
      </w:r>
      <w:r w:rsidRPr="001B5175">
        <w:rPr>
          <w:rFonts w:ascii="Lotus Linotype" w:hAnsi="Lotus Linotype" w:cs="Lotus Linotype"/>
          <w:sz w:val="24"/>
          <w:szCs w:val="24"/>
          <w:rtl/>
        </w:rPr>
        <w:t xml:space="preserve">، دار المعرفة، بدون مكان وسنة طبع، ص298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299.</w:t>
      </w:r>
    </w:p>
  </w:footnote>
  <w:footnote w:id="146">
    <w:p w14:paraId="73321E75"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مصطفى الزرقا، </w:t>
      </w:r>
      <w:r w:rsidRPr="001B5175">
        <w:rPr>
          <w:rFonts w:ascii="Lotus Linotype" w:hAnsi="Lotus Linotype" w:cs="Lotus Linotype"/>
          <w:b/>
          <w:bCs/>
          <w:i/>
          <w:iCs/>
          <w:sz w:val="24"/>
          <w:szCs w:val="24"/>
          <w:rtl/>
        </w:rPr>
        <w:t>المدخل الفقهي العام</w:t>
      </w:r>
      <w:r w:rsidRPr="001B5175">
        <w:rPr>
          <w:rFonts w:ascii="Lotus Linotype" w:hAnsi="Lotus Linotype" w:cs="Lotus Linotype"/>
          <w:sz w:val="24"/>
          <w:szCs w:val="24"/>
          <w:rtl/>
        </w:rPr>
        <w:t>، ج1، مطبعة الحياة، دمشق، 1964، ص106.</w:t>
      </w:r>
    </w:p>
  </w:footnote>
  <w:footnote w:id="147">
    <w:p w14:paraId="64C75B0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مصطفى الزلمي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أصول الفقه</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في نسيجه الجديد</w:t>
      </w:r>
      <w:r w:rsidRPr="001B5175">
        <w:rPr>
          <w:rFonts w:ascii="Lotus Linotype" w:hAnsi="Lotus Linotype" w:cs="Lotus Linotype"/>
          <w:sz w:val="24"/>
          <w:szCs w:val="24"/>
          <w:rtl/>
        </w:rPr>
        <w:t>، ط9، مطبعة شركة الخنساء للطباعة المحدودة، بغداد، 2002، ص164.</w:t>
      </w:r>
    </w:p>
  </w:footnote>
  <w:footnote w:id="148">
    <w:p w14:paraId="4EFAE97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xml:space="preserve">، ج4، ص206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207.</w:t>
      </w:r>
    </w:p>
  </w:footnote>
  <w:footnote w:id="149">
    <w:p w14:paraId="0ADA50BF"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الغزالي، </w:t>
      </w:r>
      <w:r w:rsidRPr="001B5175">
        <w:rPr>
          <w:rFonts w:ascii="Lotus Linotype" w:hAnsi="Lotus Linotype" w:cs="Lotus Linotype"/>
          <w:b/>
          <w:bCs/>
          <w:i/>
          <w:iCs/>
          <w:sz w:val="24"/>
          <w:szCs w:val="24"/>
          <w:rtl/>
        </w:rPr>
        <w:t>المستصفي</w:t>
      </w:r>
      <w:r w:rsidRPr="001B5175">
        <w:rPr>
          <w:rFonts w:ascii="Lotus Linotype" w:hAnsi="Lotus Linotype" w:cs="Lotus Linotype"/>
          <w:sz w:val="24"/>
          <w:szCs w:val="24"/>
          <w:rtl/>
        </w:rPr>
        <w:t>، ط1، المطبعة التجارية، بولاق، ص297، الآمدي (سيف الدين علي بن علي محمد)، ج4، طبعة شركة الحلبي، دمشق، ص156.</w:t>
      </w:r>
    </w:p>
  </w:footnote>
  <w:footnote w:id="150">
    <w:p w14:paraId="745867CE"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(5) عبد الحميد أبو المكارم إسماعيل، </w:t>
      </w:r>
      <w:r w:rsidRPr="001B5175">
        <w:rPr>
          <w:rFonts w:ascii="Lotus Linotype" w:hAnsi="Lotus Linotype" w:cs="Lotus Linotype"/>
          <w:b/>
          <w:bCs/>
          <w:i/>
          <w:iCs/>
          <w:sz w:val="24"/>
          <w:szCs w:val="24"/>
          <w:rtl/>
        </w:rPr>
        <w:t>الأدلة المختلف فيها وأثرها في الفقه الإسلامي</w:t>
      </w:r>
      <w:r w:rsidRPr="001B5175">
        <w:rPr>
          <w:rFonts w:ascii="Lotus Linotype" w:hAnsi="Lotus Linotype" w:cs="Lotus Linotype"/>
          <w:sz w:val="24"/>
          <w:szCs w:val="24"/>
          <w:rtl/>
        </w:rPr>
        <w:t>، دار ماجد للطباعة، القاهرة، ص161.</w:t>
      </w:r>
    </w:p>
  </w:footnote>
  <w:footnote w:id="151">
    <w:p w14:paraId="7E93416B"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محمد سعيد الطباطبائي الحكيم، </w:t>
      </w:r>
      <w:r w:rsidRPr="001B5175">
        <w:rPr>
          <w:rFonts w:ascii="Lotus Linotype" w:hAnsi="Lotus Linotype" w:cs="Lotus Linotype"/>
          <w:b/>
          <w:bCs/>
          <w:i/>
          <w:iCs/>
          <w:sz w:val="24"/>
          <w:szCs w:val="24"/>
          <w:rtl/>
        </w:rPr>
        <w:t>الكافي في أصول الفقه</w:t>
      </w:r>
      <w:r w:rsidRPr="001B5175">
        <w:rPr>
          <w:rFonts w:ascii="Lotus Linotype" w:hAnsi="Lotus Linotype" w:cs="Lotus Linotype"/>
          <w:sz w:val="24"/>
          <w:szCs w:val="24"/>
          <w:rtl/>
        </w:rPr>
        <w:t>، ج1، ط1، مطبعة السيد محمد سعيد الحكيم للنشر والتوزيع، 1991، ص411.</w:t>
      </w:r>
    </w:p>
  </w:footnote>
  <w:footnote w:id="152">
    <w:p w14:paraId="7241A22D" w14:textId="77777777" w:rsidR="008C0FB5" w:rsidRPr="001B5175" w:rsidRDefault="008C0FB5" w:rsidP="000658BE">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وقد وردت بعدة معان ولكن المعنى المطلوب هنا هو الوسيلة، انظر في ذلك: ابن منظور، </w:t>
      </w:r>
      <w:r w:rsidRPr="001B5175">
        <w:rPr>
          <w:rFonts w:ascii="Lotus Linotype" w:hAnsi="Lotus Linotype" w:cs="Lotus Linotype"/>
          <w:b/>
          <w:bCs/>
          <w:i/>
          <w:iCs/>
          <w:sz w:val="24"/>
          <w:szCs w:val="24"/>
          <w:rtl/>
        </w:rPr>
        <w:t>لسان العرب</w:t>
      </w:r>
      <w:r w:rsidRPr="001B5175">
        <w:rPr>
          <w:rFonts w:ascii="Lotus Linotype" w:hAnsi="Lotus Linotype" w:cs="Lotus Linotype"/>
          <w:sz w:val="24"/>
          <w:szCs w:val="24"/>
          <w:rtl/>
        </w:rPr>
        <w:t>، ج1، دار لسان العرب، بيروت، ص1064.</w:t>
      </w:r>
    </w:p>
  </w:footnote>
  <w:footnote w:id="153">
    <w:p w14:paraId="5AF77F5F"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محمد هاشم البرهاني، </w:t>
      </w:r>
      <w:r w:rsidRPr="001B5175">
        <w:rPr>
          <w:rFonts w:ascii="Lotus Linotype" w:hAnsi="Lotus Linotype" w:cs="Lotus Linotype"/>
          <w:b/>
          <w:bCs/>
          <w:i/>
          <w:iCs/>
          <w:sz w:val="24"/>
          <w:szCs w:val="24"/>
          <w:rtl/>
        </w:rPr>
        <w:t>سد الذرائع في الشريعة الإسلامية</w:t>
      </w:r>
      <w:r w:rsidRPr="001B5175">
        <w:rPr>
          <w:rFonts w:ascii="Lotus Linotype" w:hAnsi="Lotus Linotype" w:cs="Lotus Linotype"/>
          <w:sz w:val="24"/>
          <w:szCs w:val="24"/>
          <w:rtl/>
        </w:rPr>
        <w:t>، ط1، مطبعة الريحاني، بيروت، 1985، ص418.</w:t>
      </w:r>
    </w:p>
  </w:footnote>
  <w:footnote w:id="154">
    <w:p w14:paraId="63DE566C"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القرافي، الفروق</w:t>
      </w:r>
      <w:r w:rsidRPr="001B5175">
        <w:rPr>
          <w:rFonts w:ascii="Lotus Linotype" w:hAnsi="Lotus Linotype" w:cs="Lotus Linotype"/>
          <w:sz w:val="24"/>
          <w:szCs w:val="24"/>
          <w:rtl/>
        </w:rPr>
        <w:t>، ج2، ص33.</w:t>
      </w:r>
    </w:p>
  </w:footnote>
  <w:footnote w:id="155">
    <w:p w14:paraId="63A65130"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ابن القيم،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ص119 وما بعدها.</w:t>
      </w:r>
    </w:p>
  </w:footnote>
  <w:footnote w:id="156">
    <w:p w14:paraId="7E85841D"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ولا نريد التوسع في الأدلة ذلك ان دراستنا متعلقة بالباعث وهذه الآية من قبيل الباعث غير المشروع.</w:t>
      </w:r>
    </w:p>
  </w:footnote>
  <w:footnote w:id="157">
    <w:p w14:paraId="632A3908"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سورة النور: الآية 31.</w:t>
      </w:r>
    </w:p>
  </w:footnote>
  <w:footnote w:id="158">
    <w:p w14:paraId="65DAC25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ابن حجر العسقلاني، </w:t>
      </w:r>
      <w:r w:rsidRPr="001B5175">
        <w:rPr>
          <w:rFonts w:ascii="Lotus Linotype" w:hAnsi="Lotus Linotype" w:cs="Lotus Linotype"/>
          <w:b/>
          <w:bCs/>
          <w:i/>
          <w:iCs/>
          <w:sz w:val="24"/>
          <w:szCs w:val="24"/>
          <w:rtl/>
        </w:rPr>
        <w:t>فتح الباري وشرح صحيح البخاري</w:t>
      </w:r>
      <w:r w:rsidRPr="001B5175">
        <w:rPr>
          <w:rFonts w:ascii="Lotus Linotype" w:hAnsi="Lotus Linotype" w:cs="Lotus Linotype"/>
          <w:sz w:val="24"/>
          <w:szCs w:val="24"/>
          <w:rtl/>
        </w:rPr>
        <w:t>، ج1، ط1، دار الكتب العلمية، بيروت، 1989، ص689.</w:t>
      </w:r>
    </w:p>
  </w:footnote>
  <w:footnote w:id="159">
    <w:p w14:paraId="145E8D0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sidRPr="001B5175">
        <w:rPr>
          <w:rFonts w:ascii="Lotus Linotype" w:hAnsi="Lotus Linotype" w:cs="Lotus Linotype"/>
          <w:sz w:val="24"/>
          <w:szCs w:val="24"/>
          <w:rtl/>
        </w:rPr>
        <w:t xml:space="preserve">2) القرطبي، </w:t>
      </w:r>
      <w:r w:rsidRPr="001B5175">
        <w:rPr>
          <w:rFonts w:ascii="Lotus Linotype" w:hAnsi="Lotus Linotype" w:cs="Lotus Linotype"/>
          <w:b/>
          <w:bCs/>
          <w:i/>
          <w:iCs/>
          <w:sz w:val="24"/>
          <w:szCs w:val="24"/>
          <w:rtl/>
        </w:rPr>
        <w:t>الجامع لأحكام القرآن</w:t>
      </w:r>
      <w:r w:rsidRPr="001B5175">
        <w:rPr>
          <w:rFonts w:ascii="Lotus Linotype" w:hAnsi="Lotus Linotype" w:cs="Lotus Linotype"/>
          <w:sz w:val="24"/>
          <w:szCs w:val="24"/>
          <w:rtl/>
        </w:rPr>
        <w:t>، ج2، ط2، دار إحياء التراث العربي، بيروت، ص58.</w:t>
      </w:r>
    </w:p>
  </w:footnote>
  <w:footnote w:id="160">
    <w:p w14:paraId="0A54FDF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محمد زكريا الكاندهولي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أوجز المسالك إلى موطئ مالك</w:t>
      </w:r>
      <w:r w:rsidRPr="001B5175">
        <w:rPr>
          <w:rFonts w:ascii="Lotus Linotype" w:hAnsi="Lotus Linotype" w:cs="Lotus Linotype"/>
          <w:sz w:val="24"/>
          <w:szCs w:val="24"/>
          <w:rtl/>
        </w:rPr>
        <w:t>، ج3، طبع دار الفكر، بيروت، 1989، ص300.</w:t>
      </w:r>
    </w:p>
  </w:footnote>
  <w:footnote w:id="161">
    <w:p w14:paraId="799FBDF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للمزيد من التفاصيل، انظر في ذلك: عز الدين بن عبد السلام، </w:t>
      </w:r>
      <w:r w:rsidRPr="001B5175">
        <w:rPr>
          <w:rFonts w:ascii="Lotus Linotype" w:hAnsi="Lotus Linotype" w:cs="Lotus Linotype"/>
          <w:b/>
          <w:bCs/>
          <w:i/>
          <w:iCs/>
          <w:sz w:val="24"/>
          <w:szCs w:val="24"/>
          <w:rtl/>
        </w:rPr>
        <w:t>الإحكام في أصول الأحكام</w:t>
      </w:r>
      <w:r w:rsidRPr="001B5175">
        <w:rPr>
          <w:rFonts w:ascii="Lotus Linotype" w:hAnsi="Lotus Linotype" w:cs="Lotus Linotype"/>
          <w:sz w:val="24"/>
          <w:szCs w:val="24"/>
          <w:rtl/>
        </w:rPr>
        <w:t>، ج1، ص123.</w:t>
      </w:r>
    </w:p>
  </w:footnote>
  <w:footnote w:id="162">
    <w:p w14:paraId="00470F96"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مصطفى الزلمي، </w:t>
      </w:r>
      <w:r w:rsidRPr="001B5175">
        <w:rPr>
          <w:rFonts w:ascii="Lotus Linotype" w:hAnsi="Lotus Linotype" w:cs="Lotus Linotype"/>
          <w:b/>
          <w:bCs/>
          <w:i/>
          <w:iCs/>
          <w:sz w:val="24"/>
          <w:szCs w:val="24"/>
          <w:rtl/>
        </w:rPr>
        <w:t>أصول الفقه</w:t>
      </w:r>
      <w:r w:rsidRPr="001B5175">
        <w:rPr>
          <w:rFonts w:ascii="Lotus Linotype" w:hAnsi="Lotus Linotype" w:cs="Lotus Linotype"/>
          <w:sz w:val="24"/>
          <w:szCs w:val="24"/>
          <w:rtl/>
        </w:rPr>
        <w:t>، ط9، ص177.</w:t>
      </w:r>
    </w:p>
  </w:footnote>
  <w:footnote w:id="163">
    <w:p w14:paraId="412DAE28"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(2) مصطفى إبراهيم الزلمي، </w:t>
      </w:r>
      <w:r w:rsidRPr="001B5175">
        <w:rPr>
          <w:rFonts w:ascii="Lotus Linotype" w:hAnsi="Lotus Linotype" w:cs="Lotus Linotype"/>
          <w:b/>
          <w:bCs/>
          <w:i/>
          <w:iCs/>
          <w:sz w:val="24"/>
          <w:szCs w:val="24"/>
          <w:rtl/>
        </w:rPr>
        <w:t>أصول الفقه</w:t>
      </w:r>
      <w:r w:rsidRPr="001B5175">
        <w:rPr>
          <w:rFonts w:ascii="Lotus Linotype" w:hAnsi="Lotus Linotype" w:cs="Lotus Linotype"/>
          <w:sz w:val="24"/>
          <w:szCs w:val="24"/>
          <w:rtl/>
        </w:rPr>
        <w:t>، ط9، ص178.</w:t>
      </w:r>
    </w:p>
  </w:footnote>
  <w:footnote w:id="164">
    <w:p w14:paraId="107F0502"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محمد تقي الحكيم، المرجع السابق، ص390.</w:t>
      </w:r>
    </w:p>
  </w:footnote>
  <w:footnote w:id="165">
    <w:p w14:paraId="73EFE2BC"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القرافي، </w:t>
      </w:r>
      <w:r w:rsidRPr="001B5175">
        <w:rPr>
          <w:rFonts w:ascii="Lotus Linotype" w:hAnsi="Lotus Linotype" w:cs="Lotus Linotype"/>
          <w:b/>
          <w:bCs/>
          <w:i/>
          <w:iCs/>
          <w:sz w:val="24"/>
          <w:szCs w:val="24"/>
          <w:rtl/>
        </w:rPr>
        <w:t>الفروق</w:t>
      </w:r>
      <w:r w:rsidRPr="001B5175">
        <w:rPr>
          <w:rFonts w:ascii="Lotus Linotype" w:hAnsi="Lotus Linotype" w:cs="Lotus Linotype"/>
          <w:sz w:val="24"/>
          <w:szCs w:val="24"/>
          <w:rtl/>
        </w:rPr>
        <w:t>، ج2، ص22.</w:t>
      </w:r>
    </w:p>
  </w:footnote>
  <w:footnote w:id="166">
    <w:p w14:paraId="54DA2B4D" w14:textId="77777777" w:rsidR="008C0FB5" w:rsidRPr="001B5175" w:rsidRDefault="008C0FB5" w:rsidP="00202833">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القرافي، </w:t>
      </w:r>
      <w:r w:rsidRPr="001B5175">
        <w:rPr>
          <w:rFonts w:ascii="Lotus Linotype" w:hAnsi="Lotus Linotype" w:cs="Lotus Linotype"/>
          <w:b/>
          <w:bCs/>
          <w:i/>
          <w:iCs/>
          <w:sz w:val="24"/>
          <w:szCs w:val="24"/>
          <w:rtl/>
        </w:rPr>
        <w:t>الفروق</w:t>
      </w:r>
      <w:r w:rsidRPr="001B5175">
        <w:rPr>
          <w:rFonts w:ascii="Lotus Linotype" w:hAnsi="Lotus Linotype" w:cs="Lotus Linotype"/>
          <w:sz w:val="24"/>
          <w:szCs w:val="24"/>
          <w:rtl/>
        </w:rPr>
        <w:t>، ج2، ص23.</w:t>
      </w:r>
    </w:p>
  </w:footnote>
  <w:footnote w:id="167">
    <w:p w14:paraId="50BBFD1E"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xml:space="preserve">) عبد السلام محمد الشريف العالم، </w:t>
      </w:r>
      <w:r w:rsidRPr="001B5175">
        <w:rPr>
          <w:rFonts w:ascii="Lotus Linotype" w:hAnsi="Lotus Linotype" w:cs="Lotus Linotype"/>
          <w:b/>
          <w:bCs/>
          <w:i/>
          <w:iCs/>
          <w:sz w:val="24"/>
          <w:szCs w:val="24"/>
          <w:rtl/>
        </w:rPr>
        <w:t>علم مقاصد الشريعة</w:t>
      </w:r>
      <w:r w:rsidRPr="001B5175">
        <w:rPr>
          <w:rFonts w:ascii="Lotus Linotype" w:hAnsi="Lotus Linotype" w:cs="Lotus Linotype"/>
          <w:sz w:val="24"/>
          <w:szCs w:val="24"/>
          <w:rtl/>
        </w:rPr>
        <w:t>، منشورات جامعة قار يونس، بنغازي، ص119.</w:t>
      </w:r>
    </w:p>
  </w:footnote>
  <w:footnote w:id="168">
    <w:p w14:paraId="56EA4110"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وتوجد عدة تقسيمات للذرائع لكننا اخترنا هذين القسمين لوضوحهما من جهة ولأنهما يمثلان مذهبي المالكية والحنابلة الآخذين بالباعث على التعاقد.</w:t>
      </w:r>
    </w:p>
  </w:footnote>
  <w:footnote w:id="169">
    <w:p w14:paraId="73CEE27E"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ابن القيم،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ص121.</w:t>
      </w:r>
    </w:p>
  </w:footnote>
  <w:footnote w:id="170">
    <w:p w14:paraId="62D3FA4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محمد أبو زهرة، </w:t>
      </w:r>
      <w:r w:rsidRPr="001B5175">
        <w:rPr>
          <w:rFonts w:ascii="Lotus Linotype" w:hAnsi="Lotus Linotype" w:cs="Lotus Linotype"/>
          <w:b/>
          <w:bCs/>
          <w:i/>
          <w:iCs/>
          <w:sz w:val="24"/>
          <w:szCs w:val="24"/>
          <w:rtl/>
        </w:rPr>
        <w:t>الملكية ونظرية العقد في الشريعة الإسلامية</w:t>
      </w:r>
      <w:r w:rsidRPr="001B5175">
        <w:rPr>
          <w:rFonts w:ascii="Lotus Linotype" w:hAnsi="Lotus Linotype" w:cs="Lotus Linotype"/>
          <w:sz w:val="24"/>
          <w:szCs w:val="24"/>
          <w:rtl/>
        </w:rPr>
        <w:t>، ط1، مطبعة نوري، القاهرة، 1939، ص154.</w:t>
      </w:r>
    </w:p>
  </w:footnote>
  <w:footnote w:id="171">
    <w:p w14:paraId="79345A7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xml:space="preserve">، ج2، ص348. وللمزيد من تفاصيل هذا المبدأ، انظر: </w:t>
      </w:r>
      <w:r w:rsidRPr="001B5175">
        <w:rPr>
          <w:rFonts w:ascii="Lotus Linotype" w:hAnsi="Lotus Linotype" w:cs="Lotus Linotype"/>
          <w:b/>
          <w:bCs/>
          <w:i/>
          <w:iCs/>
          <w:sz w:val="24"/>
          <w:szCs w:val="24"/>
          <w:rtl/>
        </w:rPr>
        <w:t>تقسيمي القرافي وابن جزيء من المالكية</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القرافي، الفروع</w:t>
      </w:r>
      <w:r w:rsidRPr="001B5175">
        <w:rPr>
          <w:rFonts w:ascii="Lotus Linotype" w:hAnsi="Lotus Linotype" w:cs="Lotus Linotype"/>
          <w:sz w:val="24"/>
          <w:szCs w:val="24"/>
          <w:rtl/>
        </w:rPr>
        <w:t xml:space="preserve">، ج2، ص32، ابن جزيء، </w:t>
      </w:r>
      <w:r w:rsidRPr="001B5175">
        <w:rPr>
          <w:rFonts w:ascii="Lotus Linotype" w:hAnsi="Lotus Linotype" w:cs="Lotus Linotype"/>
          <w:b/>
          <w:bCs/>
          <w:i/>
          <w:iCs/>
          <w:sz w:val="24"/>
          <w:szCs w:val="24"/>
          <w:rtl/>
        </w:rPr>
        <w:t>تقريب الوصول إلى علم الأصول</w:t>
      </w:r>
      <w:r w:rsidRPr="001B5175">
        <w:rPr>
          <w:rFonts w:ascii="Lotus Linotype" w:hAnsi="Lotus Linotype" w:cs="Lotus Linotype"/>
          <w:sz w:val="24"/>
          <w:szCs w:val="24"/>
          <w:rtl/>
        </w:rPr>
        <w:t>، تحقيق: الدكتور عبد الله الجبوري، مطبعة الخلود، بغداد، 1990، ص147.</w:t>
      </w:r>
    </w:p>
  </w:footnote>
  <w:footnote w:id="172">
    <w:p w14:paraId="687F72AD"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انظر في ذلك: محمد </w:t>
      </w:r>
      <w:r w:rsidRPr="001B5175">
        <w:rPr>
          <w:rFonts w:ascii="Lotus Linotype" w:hAnsi="Lotus Linotype" w:cs="Lotus Linotype"/>
          <w:b/>
          <w:bCs/>
          <w:i/>
          <w:iCs/>
          <w:sz w:val="24"/>
          <w:szCs w:val="24"/>
          <w:rtl/>
        </w:rPr>
        <w:t>أبو زهرة</w:t>
      </w:r>
      <w:r w:rsidRPr="001B5175">
        <w:rPr>
          <w:rFonts w:ascii="Lotus Linotype" w:hAnsi="Lotus Linotype" w:cs="Lotus Linotype"/>
          <w:sz w:val="24"/>
          <w:szCs w:val="24"/>
          <w:rtl/>
        </w:rPr>
        <w:t>، مالك، ط1، مطبعة الاعتماد، القاهرة، 1946، ص379.</w:t>
      </w:r>
    </w:p>
  </w:footnote>
  <w:footnote w:id="173">
    <w:p w14:paraId="7C5F42F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الشاطبي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ج2، ص361.</w:t>
      </w:r>
    </w:p>
  </w:footnote>
  <w:footnote w:id="174">
    <w:p w14:paraId="6D99020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ج4، ص201.</w:t>
      </w:r>
    </w:p>
  </w:footnote>
  <w:footnote w:id="175">
    <w:p w14:paraId="21F0A48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سورة النساء: الآية 4.</w:t>
      </w:r>
    </w:p>
  </w:footnote>
  <w:footnote w:id="176">
    <w:p w14:paraId="27E4E055"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بدران أبو العينين بدران</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المواريث والوصية والهبة في الشريعة الإسلامية والقانون</w:t>
      </w:r>
      <w:r w:rsidRPr="001B5175">
        <w:rPr>
          <w:rFonts w:ascii="Lotus Linotype" w:hAnsi="Lotus Linotype" w:cs="Lotus Linotype"/>
          <w:sz w:val="24"/>
          <w:szCs w:val="24"/>
          <w:rtl/>
        </w:rPr>
        <w:t>، الناشر مؤسسة شباب الجامعة للطباعة والنشر والتوزيع، الإسكندرية، ص217.</w:t>
      </w:r>
    </w:p>
  </w:footnote>
  <w:footnote w:id="177">
    <w:p w14:paraId="127ED81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ابن نجيم، </w:t>
      </w:r>
      <w:r w:rsidRPr="001B5175">
        <w:rPr>
          <w:rFonts w:ascii="Lotus Linotype" w:hAnsi="Lotus Linotype" w:cs="Lotus Linotype"/>
          <w:b/>
          <w:bCs/>
          <w:i/>
          <w:iCs/>
          <w:sz w:val="24"/>
          <w:szCs w:val="24"/>
          <w:rtl/>
        </w:rPr>
        <w:t>الأشباه والنظائر</w:t>
      </w:r>
      <w:r w:rsidRPr="001B5175">
        <w:rPr>
          <w:rFonts w:ascii="Lotus Linotype" w:hAnsi="Lotus Linotype" w:cs="Lotus Linotype"/>
          <w:sz w:val="24"/>
          <w:szCs w:val="24"/>
          <w:rtl/>
        </w:rPr>
        <w:t>، المطبعة الحسينية، مصر، 1322هـ، ص41.</w:t>
      </w:r>
    </w:p>
  </w:footnote>
  <w:footnote w:id="178">
    <w:p w14:paraId="2734176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(5)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ص232.</w:t>
      </w:r>
    </w:p>
  </w:footnote>
  <w:footnote w:id="179">
    <w:p w14:paraId="1472EE1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ومما يزيد من ذلك كله</w:t>
      </w:r>
      <w:r w:rsidRPr="001B5175">
        <w:rPr>
          <w:rFonts w:ascii="Lotus Linotype" w:hAnsi="Lotus Linotype" w:cs="Lotus Linotype"/>
          <w:sz w:val="24"/>
          <w:szCs w:val="24"/>
          <w:rtl/>
        </w:rPr>
        <w:t xml:space="preserve">، ان المحتال ينسب فعله إلى الشارع الحكيم وإلى شرعيته، وهو بذلك كالذي يعمد إلى تغيير أسماء الأدوية والسموم القاتلة إلى أغذية صالحة، فان هذا يكون ساعياً بالفساد في الطبيعة والأول يكون ساعياً بالفساد في الشريعة، انظر في ذلك: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xml:space="preserve">، ج3، ص133. </w:t>
      </w:r>
    </w:p>
  </w:footnote>
  <w:footnote w:id="180">
    <w:p w14:paraId="1823AA4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يحيى بن شرف النووي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المنهاج، شرح صحيح المام مسلم بن الحجاج</w:t>
      </w:r>
      <w:r w:rsidRPr="001B5175">
        <w:rPr>
          <w:rFonts w:ascii="Lotus Linotype" w:hAnsi="Lotus Linotype" w:cs="Lotus Linotype"/>
          <w:sz w:val="24"/>
          <w:szCs w:val="24"/>
          <w:rtl/>
        </w:rPr>
        <w:t>، طبعة دار الشعب، ج13، ص57.</w:t>
      </w:r>
    </w:p>
  </w:footnote>
  <w:footnote w:id="181">
    <w:p w14:paraId="2B47AD0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في تحليل المطلقة ثلاثاً إلى زوجها عن طريق زواج صوري يسمى (نكاح التحليل).</w:t>
      </w:r>
    </w:p>
  </w:footnote>
  <w:footnote w:id="182">
    <w:p w14:paraId="77C4989C"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عبد السلام ذهني، </w:t>
      </w:r>
      <w:r w:rsidRPr="001B5175">
        <w:rPr>
          <w:rFonts w:ascii="Lotus Linotype" w:hAnsi="Lotus Linotype" w:cs="Lotus Linotype"/>
          <w:b/>
          <w:bCs/>
          <w:i/>
          <w:iCs/>
          <w:sz w:val="24"/>
          <w:szCs w:val="24"/>
          <w:rtl/>
        </w:rPr>
        <w:t>الحيل</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المحظور منها والمشروع</w:t>
      </w:r>
      <w:r w:rsidRPr="001B5175">
        <w:rPr>
          <w:rFonts w:ascii="Lotus Linotype" w:hAnsi="Lotus Linotype" w:cs="Lotus Linotype"/>
          <w:sz w:val="24"/>
          <w:szCs w:val="24"/>
          <w:rtl/>
        </w:rPr>
        <w:t>)، مطبعة مصر، القاهرة، 1946، ص190.</w:t>
      </w:r>
    </w:p>
  </w:footnote>
  <w:footnote w:id="183">
    <w:p w14:paraId="4C1FA10A"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الخصاف، </w:t>
      </w:r>
      <w:r w:rsidRPr="001B5175">
        <w:rPr>
          <w:rFonts w:ascii="Lotus Linotype" w:hAnsi="Lotus Linotype" w:cs="Lotus Linotype"/>
          <w:b/>
          <w:bCs/>
          <w:i/>
          <w:iCs/>
          <w:sz w:val="24"/>
          <w:szCs w:val="24"/>
          <w:rtl/>
        </w:rPr>
        <w:t>كتاب الحيل</w:t>
      </w:r>
      <w:r w:rsidRPr="001B5175">
        <w:rPr>
          <w:rFonts w:ascii="Lotus Linotype" w:hAnsi="Lotus Linotype" w:cs="Lotus Linotype"/>
          <w:sz w:val="24"/>
          <w:szCs w:val="24"/>
          <w:rtl/>
        </w:rPr>
        <w:t>، القاهرة، 1314هـ، ص90.</w:t>
      </w:r>
    </w:p>
  </w:footnote>
  <w:footnote w:id="184">
    <w:p w14:paraId="7471ECF3"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محمد علي الصابوني، </w:t>
      </w:r>
      <w:r w:rsidRPr="001B5175">
        <w:rPr>
          <w:rFonts w:ascii="Lotus Linotype" w:hAnsi="Lotus Linotype" w:cs="Lotus Linotype"/>
          <w:b/>
          <w:bCs/>
          <w:i/>
          <w:iCs/>
          <w:sz w:val="24"/>
          <w:szCs w:val="24"/>
          <w:rtl/>
        </w:rPr>
        <w:t>روائع البيان في تفسير آيات الأحكام من القرآن</w:t>
      </w:r>
      <w:r w:rsidRPr="001B5175">
        <w:rPr>
          <w:rFonts w:ascii="Lotus Linotype" w:hAnsi="Lotus Linotype" w:cs="Lotus Linotype"/>
          <w:sz w:val="24"/>
          <w:szCs w:val="24"/>
          <w:rtl/>
        </w:rPr>
        <w:t>، ج2، دار الصابوني للنشر، ص437.</w:t>
      </w:r>
    </w:p>
  </w:footnote>
  <w:footnote w:id="185">
    <w:p w14:paraId="519C0AD5"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حليمة آيت حمودي، المرجع السابق، ص200.</w:t>
      </w:r>
    </w:p>
  </w:footnote>
  <w:footnote w:id="186">
    <w:p w14:paraId="6A585E39" w14:textId="77777777" w:rsidR="008C0FB5" w:rsidRPr="001B5175" w:rsidRDefault="008C0FB5" w:rsidP="0020283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ويقول إن دلائل هذه القاعدة تفوت الحصر، من ذلك قوله تعالى: ﴿</w:t>
      </w:r>
      <w:r w:rsidRPr="001B5175">
        <w:rPr>
          <w:rFonts w:ascii="Lotus Linotype" w:hAnsi="Lotus Linotype" w:cs="KFGQPC Uthman Taha Naskh"/>
          <w:b/>
          <w:bCs/>
          <w:sz w:val="24"/>
          <w:szCs w:val="24"/>
          <w:rtl/>
        </w:rPr>
        <w:t>وَبُعُولَتُهُنَّ أَحَقُّ بِرَدِّهِنَّ فِي ذَلِكَ إِنْ أَرَادُواْ إِصْلاَحاً</w:t>
      </w:r>
      <w:r w:rsidRPr="001B5175">
        <w:rPr>
          <w:rFonts w:ascii="Lotus Linotype" w:hAnsi="Lotus Linotype" w:cs="Lotus Linotype"/>
          <w:sz w:val="24"/>
          <w:szCs w:val="24"/>
          <w:rtl/>
        </w:rPr>
        <w:t>﴾ [سورة البقرة: الآية 228] وقوله تعالى: ﴿</w:t>
      </w:r>
      <w:r w:rsidRPr="001B5175">
        <w:rPr>
          <w:rFonts w:ascii="Lotus Linotype" w:hAnsi="Lotus Linotype" w:cs="KFGQPC Uthman Taha Naskh"/>
          <w:b/>
          <w:bCs/>
          <w:sz w:val="24"/>
          <w:szCs w:val="24"/>
          <w:rtl/>
        </w:rPr>
        <w:t>فَإِنْ خِفْتُمْ أَلاَّ يُقِيمَا حُدُودَ اللّهِ فَلاَ جُنَاحَ عَلَيْهِمَا فِيمَا افْتَدَتْ بِهِ</w:t>
      </w:r>
      <w:r w:rsidRPr="001B5175">
        <w:rPr>
          <w:rFonts w:ascii="Lotus Linotype" w:hAnsi="Lotus Linotype" w:cs="Lotus Linotype"/>
          <w:sz w:val="24"/>
          <w:szCs w:val="24"/>
          <w:rtl/>
        </w:rPr>
        <w:t>﴾ [سورة البقرة: الآية 229] وأيضاً قوله تعالى: ﴿</w:t>
      </w:r>
      <w:r w:rsidRPr="001B5175">
        <w:rPr>
          <w:rFonts w:ascii="Lotus Linotype" w:hAnsi="Lotus Linotype" w:cs="KFGQPC Uthman Taha Naskh"/>
          <w:b/>
          <w:bCs/>
          <w:sz w:val="24"/>
          <w:szCs w:val="24"/>
          <w:rtl/>
        </w:rPr>
        <w:t>فَإِن طَلَّقَهَا فَلاَ جُنَاحَ عَلَيْهِمَا أَن يَتَرَاجَعَا إِن ظَنَّا أَن يُقِيمَا حُدُودَ اللّ</w:t>
      </w:r>
      <w:r w:rsidRPr="001B5175">
        <w:rPr>
          <w:rFonts w:ascii="Lotus Linotype" w:hAnsi="Lotus Linotype" w:cs="KFGQPC Uthman Taha Naskh" w:hint="cs"/>
          <w:b/>
          <w:bCs/>
          <w:sz w:val="24"/>
          <w:szCs w:val="24"/>
          <w:rtl/>
          <w:lang w:bidi="fa-IR"/>
        </w:rPr>
        <w:t>ـ</w:t>
      </w:r>
      <w:r w:rsidRPr="001B5175">
        <w:rPr>
          <w:rFonts w:ascii="Lotus Linotype" w:hAnsi="Lotus Linotype" w:cs="KFGQPC Uthman Taha Naskh"/>
          <w:b/>
          <w:bCs/>
          <w:sz w:val="24"/>
          <w:szCs w:val="24"/>
          <w:rtl/>
        </w:rPr>
        <w:t>هِ</w:t>
      </w:r>
      <w:r w:rsidRPr="001B5175">
        <w:rPr>
          <w:rFonts w:ascii="Lotus Linotype" w:hAnsi="Lotus Linotype" w:cs="Lotus Linotype"/>
          <w:sz w:val="24"/>
          <w:szCs w:val="24"/>
          <w:rtl/>
        </w:rPr>
        <w:t xml:space="preserve">﴾ [سورة البقرة: الآية 230] إلى غير ذلك من الأدلة، انظر في ذلك: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ص84.</w:t>
      </w:r>
    </w:p>
  </w:footnote>
  <w:footnote w:id="187">
    <w:p w14:paraId="5B23B08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صبحي المحمصاني</w:t>
      </w:r>
      <w:r w:rsidRPr="001B5175">
        <w:rPr>
          <w:rFonts w:ascii="Lotus Linotype" w:hAnsi="Lotus Linotype" w:cs="Lotus Linotype" w:hint="cs"/>
          <w:sz w:val="24"/>
          <w:szCs w:val="24"/>
          <w:rtl/>
        </w:rPr>
        <w:t>،</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فلسفة التشريع الإسلامي</w:t>
      </w:r>
      <w:r w:rsidRPr="001B5175">
        <w:rPr>
          <w:rFonts w:ascii="Lotus Linotype" w:hAnsi="Lotus Linotype" w:cs="Lotus Linotype"/>
          <w:sz w:val="24"/>
          <w:szCs w:val="24"/>
          <w:rtl/>
        </w:rPr>
        <w:t>، ط3، مطبعة الكشاف، بيروت، 1952، ص310.</w:t>
      </w:r>
    </w:p>
  </w:footnote>
  <w:footnote w:id="188">
    <w:p w14:paraId="03384CF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ابن رجب عبد الرحمن أبو الفرج، </w:t>
      </w:r>
      <w:r w:rsidRPr="001B5175">
        <w:rPr>
          <w:rFonts w:ascii="Lotus Linotype" w:hAnsi="Lotus Linotype" w:cs="Lotus Linotype"/>
          <w:b/>
          <w:bCs/>
          <w:i/>
          <w:iCs/>
          <w:sz w:val="24"/>
          <w:szCs w:val="24"/>
          <w:rtl/>
        </w:rPr>
        <w:t>القواعد في الفقه الإسلامي</w:t>
      </w:r>
      <w:r w:rsidRPr="001B5175">
        <w:rPr>
          <w:rFonts w:ascii="Lotus Linotype" w:hAnsi="Lotus Linotype" w:cs="Lotus Linotype"/>
          <w:sz w:val="24"/>
          <w:szCs w:val="24"/>
          <w:rtl/>
        </w:rPr>
        <w:t>، مطبعة الصدق الخيرية، القاهرة، 1933، ص18.</w:t>
      </w:r>
    </w:p>
  </w:footnote>
  <w:footnote w:id="189">
    <w:p w14:paraId="21ED675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ابن رجب، المرجع السابق، ص18.</w:t>
      </w:r>
    </w:p>
  </w:footnote>
  <w:footnote w:id="190">
    <w:p w14:paraId="2BA3272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(4) ابن قيم ال</w:t>
      </w:r>
      <w:r w:rsidRPr="001B5175">
        <w:rPr>
          <w:rFonts w:ascii="Lotus Linotype" w:hAnsi="Lotus Linotype" w:cs="Lotus Linotype"/>
          <w:sz w:val="24"/>
          <w:szCs w:val="24"/>
          <w:rtl/>
        </w:rPr>
        <w:t xml:space="preserve">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ص82.</w:t>
      </w:r>
    </w:p>
  </w:footnote>
  <w:footnote w:id="191">
    <w:p w14:paraId="2D215E14"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محمد سعيد العزي، </w:t>
      </w:r>
      <w:r w:rsidRPr="001B5175">
        <w:rPr>
          <w:rFonts w:ascii="Lotus Linotype" w:hAnsi="Lotus Linotype" w:cs="Lotus Linotype"/>
          <w:b/>
          <w:bCs/>
          <w:i/>
          <w:iCs/>
          <w:sz w:val="24"/>
          <w:szCs w:val="24"/>
          <w:rtl/>
        </w:rPr>
        <w:t>شرح الأدلة الأصلية على مجلة الأحكام العدلية</w:t>
      </w:r>
      <w:r w:rsidRPr="001B5175">
        <w:rPr>
          <w:rFonts w:ascii="Lotus Linotype" w:hAnsi="Lotus Linotype" w:cs="Lotus Linotype"/>
          <w:sz w:val="24"/>
          <w:szCs w:val="24"/>
          <w:rtl/>
        </w:rPr>
        <w:t>، ج1، 1924، ص8.</w:t>
      </w:r>
    </w:p>
  </w:footnote>
  <w:footnote w:id="192">
    <w:p w14:paraId="7423027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سعيد يحيى ومحمد مظفر، </w:t>
      </w:r>
      <w:r w:rsidRPr="001B5175">
        <w:rPr>
          <w:rFonts w:ascii="Lotus Linotype" w:hAnsi="Lotus Linotype" w:cs="Lotus Linotype"/>
          <w:b/>
          <w:bCs/>
          <w:i/>
          <w:iCs/>
          <w:sz w:val="24"/>
          <w:szCs w:val="24"/>
          <w:rtl/>
        </w:rPr>
        <w:t>مبادئ القانون والالتزامات</w:t>
      </w:r>
      <w:r w:rsidRPr="001B5175">
        <w:rPr>
          <w:rFonts w:ascii="Lotus Linotype" w:hAnsi="Lotus Linotype" w:cs="Lotus Linotype"/>
          <w:sz w:val="24"/>
          <w:szCs w:val="24"/>
          <w:rtl/>
        </w:rPr>
        <w:t>، ط1، مطبعة دار عكاظ للطباعة والنشر، 1987، ص261.</w:t>
      </w:r>
    </w:p>
  </w:footnote>
  <w:footnote w:id="193">
    <w:p w14:paraId="7E22DAA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عدنان إبراهيم عبد الجميلي، </w:t>
      </w:r>
      <w:r w:rsidRPr="001B5175">
        <w:rPr>
          <w:rFonts w:ascii="Lotus Linotype" w:hAnsi="Lotus Linotype" w:cs="Lotus Linotype"/>
          <w:b/>
          <w:bCs/>
          <w:i/>
          <w:iCs/>
          <w:sz w:val="24"/>
          <w:szCs w:val="24"/>
          <w:rtl/>
        </w:rPr>
        <w:t>قاعدة سد الذرائع وتطبيقاتها في الشريعة الإسلامية والقانون</w:t>
      </w:r>
      <w:r w:rsidRPr="001B5175">
        <w:rPr>
          <w:rFonts w:ascii="Lotus Linotype" w:hAnsi="Lotus Linotype" w:cs="Lotus Linotype"/>
          <w:sz w:val="24"/>
          <w:szCs w:val="24"/>
          <w:rtl/>
        </w:rPr>
        <w:t>، رسالة ماجستير قدمت إلى مجلس كلية النهرين للحقوق، 1992، ص113.</w:t>
      </w:r>
    </w:p>
  </w:footnote>
  <w:footnote w:id="194">
    <w:p w14:paraId="1A2B653B"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xml:space="preserve">، ج3، ص172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173.</w:t>
      </w:r>
    </w:p>
  </w:footnote>
  <w:footnote w:id="195">
    <w:p w14:paraId="0DD74833"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انظر في ذلك: السيوطي، </w:t>
      </w:r>
      <w:r w:rsidRPr="001B5175">
        <w:rPr>
          <w:rFonts w:ascii="Lotus Linotype" w:hAnsi="Lotus Linotype" w:cs="Lotus Linotype"/>
          <w:b/>
          <w:bCs/>
          <w:i/>
          <w:iCs/>
          <w:sz w:val="24"/>
          <w:szCs w:val="24"/>
          <w:rtl/>
        </w:rPr>
        <w:t>الأشباه والنظائر</w:t>
      </w:r>
      <w:r w:rsidRPr="001B5175">
        <w:rPr>
          <w:rFonts w:ascii="Lotus Linotype" w:hAnsi="Lotus Linotype" w:cs="Lotus Linotype"/>
          <w:sz w:val="24"/>
          <w:szCs w:val="24"/>
          <w:rtl/>
        </w:rPr>
        <w:t>، مطبعة مصطفى أحمد، 1936، ص250.</w:t>
      </w:r>
    </w:p>
  </w:footnote>
  <w:footnote w:id="196">
    <w:p w14:paraId="16F9961C"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ص173.</w:t>
      </w:r>
    </w:p>
  </w:footnote>
  <w:footnote w:id="197">
    <w:p w14:paraId="000071E3"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وحيد الدين سوار، المرجع السابق، ص519.</w:t>
      </w:r>
    </w:p>
  </w:footnote>
  <w:footnote w:id="198">
    <w:p w14:paraId="2C1DD068"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ص171.</w:t>
      </w:r>
    </w:p>
  </w:footnote>
  <w:footnote w:id="199">
    <w:p w14:paraId="0ED0EF7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ابن 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ص171.</w:t>
      </w:r>
    </w:p>
  </w:footnote>
  <w:footnote w:id="200">
    <w:p w14:paraId="007E722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الشافعي، </w:t>
      </w:r>
      <w:r w:rsidRPr="001B5175">
        <w:rPr>
          <w:rFonts w:ascii="Lotus Linotype" w:hAnsi="Lotus Linotype" w:cs="Lotus Linotype"/>
          <w:b/>
          <w:bCs/>
          <w:i/>
          <w:iCs/>
          <w:sz w:val="24"/>
          <w:szCs w:val="24"/>
          <w:rtl/>
        </w:rPr>
        <w:t>الأم</w:t>
      </w:r>
      <w:r w:rsidRPr="001B5175">
        <w:rPr>
          <w:rFonts w:ascii="Lotus Linotype" w:hAnsi="Lotus Linotype" w:cs="Lotus Linotype"/>
          <w:sz w:val="24"/>
          <w:szCs w:val="24"/>
          <w:rtl/>
        </w:rPr>
        <w:t>، ج3، ص75.</w:t>
      </w:r>
    </w:p>
  </w:footnote>
  <w:footnote w:id="201">
    <w:p w14:paraId="0DEE338A"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الشافعي، </w:t>
      </w:r>
      <w:r w:rsidRPr="001B5175">
        <w:rPr>
          <w:rFonts w:ascii="Lotus Linotype" w:hAnsi="Lotus Linotype" w:cs="Lotus Linotype"/>
          <w:b/>
          <w:bCs/>
          <w:i/>
          <w:iCs/>
          <w:sz w:val="24"/>
          <w:szCs w:val="24"/>
          <w:rtl/>
        </w:rPr>
        <w:t>الأم</w:t>
      </w:r>
      <w:r w:rsidRPr="001B5175">
        <w:rPr>
          <w:rFonts w:ascii="Lotus Linotype" w:hAnsi="Lotus Linotype" w:cs="Lotus Linotype"/>
          <w:sz w:val="24"/>
          <w:szCs w:val="24"/>
          <w:rtl/>
        </w:rPr>
        <w:t>، ج3، ص71.</w:t>
      </w:r>
    </w:p>
  </w:footnote>
  <w:footnote w:id="202">
    <w:p w14:paraId="063BE1CC"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الشافعي، </w:t>
      </w:r>
      <w:r w:rsidRPr="001B5175">
        <w:rPr>
          <w:rFonts w:ascii="Lotus Linotype" w:hAnsi="Lotus Linotype" w:cs="Lotus Linotype"/>
          <w:b/>
          <w:bCs/>
          <w:i/>
          <w:iCs/>
          <w:sz w:val="24"/>
          <w:szCs w:val="24"/>
          <w:rtl/>
        </w:rPr>
        <w:t>الأم</w:t>
      </w:r>
      <w:r w:rsidRPr="001B5175">
        <w:rPr>
          <w:rFonts w:ascii="Lotus Linotype" w:hAnsi="Lotus Linotype" w:cs="Lotus Linotype"/>
          <w:sz w:val="24"/>
          <w:szCs w:val="24"/>
          <w:rtl/>
        </w:rPr>
        <w:t xml:space="preserve">، ج7، ص312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313.</w:t>
      </w:r>
    </w:p>
  </w:footnote>
  <w:footnote w:id="203">
    <w:p w14:paraId="4251F19D"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وحيد الدين سوار، المرجع السابق، ص520.</w:t>
      </w:r>
    </w:p>
  </w:footnote>
  <w:footnote w:id="204">
    <w:p w14:paraId="5CAEF37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الشيرازي (أبو إسحاق)، </w:t>
      </w:r>
      <w:r w:rsidRPr="001B5175">
        <w:rPr>
          <w:rFonts w:ascii="Lotus Linotype" w:hAnsi="Lotus Linotype" w:cs="Lotus Linotype"/>
          <w:b/>
          <w:bCs/>
          <w:i/>
          <w:iCs/>
          <w:sz w:val="24"/>
          <w:szCs w:val="24"/>
          <w:rtl/>
        </w:rPr>
        <w:t>المهذب</w:t>
      </w:r>
      <w:r w:rsidRPr="001B5175">
        <w:rPr>
          <w:rFonts w:ascii="Lotus Linotype" w:hAnsi="Lotus Linotype" w:cs="Lotus Linotype"/>
          <w:sz w:val="24"/>
          <w:szCs w:val="24"/>
          <w:rtl/>
        </w:rPr>
        <w:t>، ج2، مطبعة الحلبي، مصر، 1343هـ، ص86، إذ يقول ((أنا أقضي بالظاهر والله يتولى السرائر)).</w:t>
      </w:r>
    </w:p>
  </w:footnote>
  <w:footnote w:id="205">
    <w:p w14:paraId="3EBEA26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(4) وحيد الدين سوار، المرجع السابق، ص520.</w:t>
      </w:r>
    </w:p>
  </w:footnote>
  <w:footnote w:id="206">
    <w:p w14:paraId="326812A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صبحي المحمصاني، </w:t>
      </w:r>
      <w:r w:rsidRPr="001B5175">
        <w:rPr>
          <w:rFonts w:ascii="Lotus Linotype" w:hAnsi="Lotus Linotype" w:cs="Lotus Linotype"/>
          <w:b/>
          <w:bCs/>
          <w:i/>
          <w:iCs/>
          <w:sz w:val="24"/>
          <w:szCs w:val="24"/>
          <w:rtl/>
        </w:rPr>
        <w:t>النظرية العامة للموجبات والعقود في الشريعة الإسلامية</w:t>
      </w:r>
      <w:r w:rsidRPr="001B5175">
        <w:rPr>
          <w:rFonts w:ascii="Lotus Linotype" w:hAnsi="Lotus Linotype" w:cs="Lotus Linotype"/>
          <w:sz w:val="24"/>
          <w:szCs w:val="24"/>
          <w:rtl/>
        </w:rPr>
        <w:t>، المرجع السابق، ص334.</w:t>
      </w:r>
    </w:p>
  </w:footnote>
  <w:footnote w:id="207">
    <w:p w14:paraId="5DA10322"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(1) العاملي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مفتاح الكرامة</w:t>
      </w:r>
      <w:r w:rsidRPr="001B5175">
        <w:rPr>
          <w:rFonts w:ascii="Lotus Linotype" w:hAnsi="Lotus Linotype" w:cs="Lotus Linotype"/>
          <w:sz w:val="24"/>
          <w:szCs w:val="24"/>
          <w:rtl/>
        </w:rPr>
        <w:t>، ج4، مطبعة رنكين، طهران، 1387هـ، ص37.</w:t>
      </w:r>
    </w:p>
  </w:footnote>
  <w:footnote w:id="208">
    <w:p w14:paraId="0502277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الخوانساري، </w:t>
      </w:r>
      <w:r w:rsidRPr="001B5175">
        <w:rPr>
          <w:rFonts w:ascii="Lotus Linotype" w:hAnsi="Lotus Linotype" w:cs="Lotus Linotype"/>
          <w:b/>
          <w:bCs/>
          <w:i/>
          <w:iCs/>
          <w:sz w:val="24"/>
          <w:szCs w:val="24"/>
          <w:rtl/>
        </w:rPr>
        <w:t>منية الطالب</w:t>
      </w:r>
      <w:r w:rsidRPr="001B5175">
        <w:rPr>
          <w:rFonts w:ascii="Lotus Linotype" w:hAnsi="Lotus Linotype" w:cs="Lotus Linotype"/>
          <w:sz w:val="24"/>
          <w:szCs w:val="24"/>
          <w:rtl/>
        </w:rPr>
        <w:t>، ج1، ص10، مشار إليه في: عبد المجيد الحكيم، الموجز، المرجع السابق، ص222.</w:t>
      </w:r>
    </w:p>
  </w:footnote>
  <w:footnote w:id="209">
    <w:p w14:paraId="3EB0BA3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الخوانساري، </w:t>
      </w:r>
      <w:r w:rsidRPr="001B5175">
        <w:rPr>
          <w:rFonts w:ascii="Lotus Linotype" w:hAnsi="Lotus Linotype" w:cs="Lotus Linotype"/>
          <w:b/>
          <w:bCs/>
          <w:i/>
          <w:iCs/>
          <w:sz w:val="24"/>
          <w:szCs w:val="24"/>
          <w:rtl/>
        </w:rPr>
        <w:t>منية الطالب</w:t>
      </w:r>
      <w:r w:rsidRPr="001B5175">
        <w:rPr>
          <w:rFonts w:ascii="Lotus Linotype" w:hAnsi="Lotus Linotype" w:cs="Lotus Linotype"/>
          <w:sz w:val="24"/>
          <w:szCs w:val="24"/>
          <w:rtl/>
        </w:rPr>
        <w:t>، ج1، ص25، مشار إليه في: عبد المجيد الحكيم، الموجز، المرجع السابق، ص222.</w:t>
      </w:r>
    </w:p>
  </w:footnote>
  <w:footnote w:id="210">
    <w:p w14:paraId="1CE50D2D"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الأستاذ بدرو ديب، </w:t>
      </w:r>
      <w:r w:rsidRPr="001B5175">
        <w:rPr>
          <w:rFonts w:ascii="Lotus Linotype" w:hAnsi="Lotus Linotype" w:cs="Lotus Linotype"/>
          <w:b/>
          <w:bCs/>
          <w:i/>
          <w:iCs/>
          <w:sz w:val="24"/>
          <w:szCs w:val="24"/>
          <w:rtl/>
        </w:rPr>
        <w:t>بحث في نظرية الباعث في الفقه الحنف</w:t>
      </w:r>
      <w:r w:rsidRPr="001B5175">
        <w:rPr>
          <w:rFonts w:ascii="Lotus Linotype" w:hAnsi="Lotus Linotype" w:cs="Lotus Linotype"/>
          <w:sz w:val="24"/>
          <w:szCs w:val="24"/>
          <w:rtl/>
        </w:rPr>
        <w:t xml:space="preserve">، ص233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234، مشار إليه عند الأستاذ السنهوري، </w:t>
      </w:r>
      <w:r w:rsidRPr="001B5175">
        <w:rPr>
          <w:rFonts w:ascii="Lotus Linotype" w:hAnsi="Lotus Linotype" w:cs="Lotus Linotype"/>
          <w:b/>
          <w:bCs/>
          <w:i/>
          <w:iCs/>
          <w:sz w:val="24"/>
          <w:szCs w:val="24"/>
          <w:rtl/>
        </w:rPr>
        <w:t>مصادر</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الحق</w:t>
      </w:r>
      <w:r w:rsidRPr="001B5175">
        <w:rPr>
          <w:rFonts w:ascii="Lotus Linotype" w:hAnsi="Lotus Linotype" w:cs="Lotus Linotype"/>
          <w:sz w:val="24"/>
          <w:szCs w:val="24"/>
          <w:rtl/>
        </w:rPr>
        <w:t>، ج4، ص80.</w:t>
      </w:r>
    </w:p>
  </w:footnote>
  <w:footnote w:id="211">
    <w:p w14:paraId="1A37437A" w14:textId="77777777" w:rsidR="008C0FB5" w:rsidRPr="001B5175" w:rsidRDefault="008C0FB5" w:rsidP="0099696D">
      <w:pPr>
        <w:pStyle w:val="af"/>
        <w:ind w:left="0" w:firstLine="0"/>
        <w:rPr>
          <w:rFonts w:ascii="Lotus Linotype" w:hAnsi="Lotus Linotype" w:cs="Lotus Linotype"/>
          <w:sz w:val="24"/>
          <w:szCs w:val="24"/>
          <w:rtl/>
        </w:rPr>
      </w:pPr>
      <w:r>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الشهيد السيد زين الدين الجبعي العاملي، </w:t>
      </w:r>
      <w:r w:rsidRPr="001B5175">
        <w:rPr>
          <w:rFonts w:ascii="Lotus Linotype" w:hAnsi="Lotus Linotype" w:cs="Lotus Linotype"/>
          <w:b/>
          <w:bCs/>
          <w:i/>
          <w:iCs/>
          <w:sz w:val="24"/>
          <w:szCs w:val="24"/>
          <w:rtl/>
        </w:rPr>
        <w:t>الروضة البهية في شرح اللمعة الدمشقية</w:t>
      </w:r>
      <w:r w:rsidRPr="001B5175">
        <w:rPr>
          <w:rFonts w:ascii="Lotus Linotype" w:hAnsi="Lotus Linotype" w:cs="Lotus Linotype"/>
          <w:sz w:val="24"/>
          <w:szCs w:val="24"/>
          <w:rtl/>
        </w:rPr>
        <w:t xml:space="preserve">، ج3، ط1، منشورات جامعة النجف الدينية، ص211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212.</w:t>
      </w:r>
    </w:p>
  </w:footnote>
  <w:footnote w:id="212">
    <w:p w14:paraId="552467C6"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الشيخ مرتضى الأنصاري، ج2، ط1، مطبعة الآداب، النجف، تحقيق: محمد كلانتر، ص61.</w:t>
      </w:r>
    </w:p>
  </w:footnote>
  <w:footnote w:id="213">
    <w:p w14:paraId="70AE0991"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الخوانساري، </w:t>
      </w:r>
      <w:r w:rsidRPr="001B5175">
        <w:rPr>
          <w:rFonts w:ascii="Lotus Linotype" w:hAnsi="Lotus Linotype" w:cs="Lotus Linotype"/>
          <w:b/>
          <w:bCs/>
          <w:i/>
          <w:iCs/>
          <w:sz w:val="24"/>
          <w:szCs w:val="24"/>
          <w:rtl/>
        </w:rPr>
        <w:t>منية الطالب</w:t>
      </w:r>
      <w:r w:rsidRPr="001B5175">
        <w:rPr>
          <w:rFonts w:ascii="Lotus Linotype" w:hAnsi="Lotus Linotype" w:cs="Lotus Linotype"/>
          <w:sz w:val="24"/>
          <w:szCs w:val="24"/>
          <w:rtl/>
        </w:rPr>
        <w:t>، ص213، نقلاً عن: عبد المجيد الحكيم، الموجز، المرجع السابق، ص226.</w:t>
      </w:r>
    </w:p>
  </w:footnote>
  <w:footnote w:id="214">
    <w:p w14:paraId="5FB1FC6E" w14:textId="77777777" w:rsidR="008C0FB5" w:rsidRPr="001B5175" w:rsidRDefault="008C0FB5" w:rsidP="00921573">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السيد علي السيستاني، </w:t>
      </w:r>
      <w:r w:rsidRPr="001B5175">
        <w:rPr>
          <w:rFonts w:ascii="Lotus Linotype" w:hAnsi="Lotus Linotype" w:cs="Lotus Linotype"/>
          <w:b/>
          <w:bCs/>
          <w:i/>
          <w:iCs/>
          <w:sz w:val="24"/>
          <w:szCs w:val="24"/>
          <w:rtl/>
        </w:rPr>
        <w:t>الفتاوى الميسرة</w:t>
      </w:r>
      <w:r w:rsidRPr="001B5175">
        <w:rPr>
          <w:rFonts w:ascii="Lotus Linotype" w:hAnsi="Lotus Linotype" w:cs="Lotus Linotype"/>
          <w:sz w:val="24"/>
          <w:szCs w:val="24"/>
          <w:rtl/>
        </w:rPr>
        <w:t>، تقديم: عبد الهادي محمد تقي الحكيم، مطبعة دار المؤرخ العربي، بيروت، بدون سنة طبع، ص200.</w:t>
      </w:r>
    </w:p>
  </w:footnote>
  <w:footnote w:id="215">
    <w:p w14:paraId="4A2DF26F"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(1) الإمام الخميني، </w:t>
      </w:r>
      <w:r w:rsidRPr="001B5175">
        <w:rPr>
          <w:rFonts w:ascii="Lotus Linotype" w:hAnsi="Lotus Linotype" w:cs="Lotus Linotype"/>
          <w:b/>
          <w:bCs/>
          <w:i/>
          <w:iCs/>
          <w:sz w:val="24"/>
          <w:szCs w:val="24"/>
          <w:rtl/>
        </w:rPr>
        <w:t>المكاسب المحرمة</w:t>
      </w:r>
      <w:r w:rsidRPr="001B5175">
        <w:rPr>
          <w:rFonts w:ascii="Lotus Linotype" w:hAnsi="Lotus Linotype" w:cs="Lotus Linotype"/>
          <w:sz w:val="24"/>
          <w:szCs w:val="24"/>
          <w:rtl/>
        </w:rPr>
        <w:t xml:space="preserve">، ج1، مطبعة الاعتماد، قم، 1373هـ، ص161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162.</w:t>
      </w:r>
    </w:p>
  </w:footnote>
  <w:footnote w:id="216">
    <w:p w14:paraId="5FBA6A6F"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الإمام الخميني، المرجع السابق، ص164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165.</w:t>
      </w:r>
    </w:p>
  </w:footnote>
  <w:footnote w:id="217">
    <w:p w14:paraId="0D920390"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ص82.</w:t>
      </w:r>
    </w:p>
  </w:footnote>
  <w:footnote w:id="218">
    <w:p w14:paraId="359F599F"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راجع رسالة الدكتور عبد الله الجليلي حيث تجد آثار هذا الخلط في النصوص الطويلة التي نقلها عن ابن القيم في صدد بحثه عن الباعث غير المشروع، ولقد كان حرياً بالمؤلف أن يصطفي من هذه النصوص ما يتفق مع موضوع الباعث غير المشروع، بأن يدرجها كما وردت في مصدرها بدون تفريق بين الباعث والإرادة الباطنة الأمر الذي لا صلة له ببحث المؤلف، عبد الله الجليلي، المرجع السابق، ص360.</w:t>
      </w:r>
    </w:p>
  </w:footnote>
  <w:footnote w:id="219">
    <w:p w14:paraId="3D3DE5FB"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xml:space="preserve">، ج3، ص54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55.</w:t>
      </w:r>
    </w:p>
  </w:footnote>
  <w:footnote w:id="220">
    <w:p w14:paraId="0AAC9106"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ص56.</w:t>
      </w:r>
    </w:p>
  </w:footnote>
  <w:footnote w:id="221">
    <w:p w14:paraId="1944478F"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ص83.</w:t>
      </w:r>
    </w:p>
  </w:footnote>
  <w:footnote w:id="222">
    <w:p w14:paraId="6B79EB26"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ص84.</w:t>
      </w:r>
    </w:p>
  </w:footnote>
  <w:footnote w:id="223">
    <w:p w14:paraId="3F3F0578" w14:textId="77777777" w:rsidR="008C0FB5" w:rsidRPr="001B5175" w:rsidRDefault="008C0FB5" w:rsidP="00921573">
      <w:pPr>
        <w:pStyle w:val="af"/>
        <w:ind w:left="0" w:firstLine="0"/>
        <w:rPr>
          <w:rFonts w:ascii="Lotus Linotype" w:hAnsi="Lotus Linotype" w:cs="Lotus Linotype" w:hint="cs"/>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ولعلنا لا نستطيع أن نعزل ميل ابن القيم إلى النزعة الذاتية في النطاق التعاقدي عن نزعته الذاتية العامة واننا نرى ان ثمة صلة بين محاربة ابن القيم للبدع في المجال العقائدي ومحاربته مثلاً للاتجاهات الشكلية في المذهب الشافعي التي تذهب إلى تحتيم عقد النكاح بلفظ معين وانه ثمة صلة بين نظرة ابن القيم لحرية الاختيار في المجال الفلسفي، وبين مناداته بمبدأ سلطان الإرادة في المجال التعاقدي وان ما يؤيد وجهة نظرنا هذه قول ابن القيم</w:t>
      </w:r>
      <w:r w:rsidRPr="001B5175">
        <w:rPr>
          <w:rFonts w:ascii="Lotus Linotype" w:hAnsi="Lotus Linotype" w:cs="Lotus Linotype" w:hint="cs"/>
          <w:sz w:val="24"/>
          <w:szCs w:val="24"/>
          <w:rtl/>
        </w:rPr>
        <w:t>:</w:t>
      </w:r>
    </w:p>
    <w:p w14:paraId="6FC19F63" w14:textId="77777777" w:rsidR="008C0FB5" w:rsidRPr="00921573" w:rsidRDefault="008C0FB5" w:rsidP="00A613BA">
      <w:pPr>
        <w:pStyle w:val="afffffff1"/>
        <w:rPr>
          <w:rFonts w:hint="cs"/>
          <w:sz w:val="22"/>
          <w:szCs w:val="22"/>
          <w:rtl/>
        </w:rPr>
      </w:pPr>
      <w:r w:rsidRPr="00921573">
        <w:rPr>
          <w:sz w:val="22"/>
          <w:szCs w:val="22"/>
          <w:rtl/>
        </w:rPr>
        <w:t>وما مثل من وقف على الظواهر والألفاظ ولم يراعِ المقاصد والمعاني إلا كمثل رجل قيل له لا تسلم على صاحب بدعة فقبل يده ورجله ولم يسلم عليه</w:t>
      </w:r>
      <w:r w:rsidRPr="00921573">
        <w:rPr>
          <w:rFonts w:hint="cs"/>
          <w:sz w:val="22"/>
          <w:szCs w:val="22"/>
          <w:rtl/>
        </w:rPr>
        <w:t>.</w:t>
      </w:r>
    </w:p>
    <w:p w14:paraId="720C8E26" w14:textId="77777777" w:rsidR="008C0FB5" w:rsidRPr="001B5175" w:rsidRDefault="008C0FB5" w:rsidP="0099696D">
      <w:pPr>
        <w:pStyle w:val="af"/>
        <w:ind w:left="0" w:firstLine="0"/>
        <w:rPr>
          <w:rFonts w:ascii="Lotus Linotype" w:hAnsi="Lotus Linotype" w:cs="Lotus Linotype"/>
          <w:sz w:val="24"/>
          <w:szCs w:val="24"/>
          <w:rtl/>
        </w:rPr>
      </w:pPr>
      <w:r>
        <w:rPr>
          <w:rFonts w:ascii="Lotus Linotype" w:hAnsi="Lotus Linotype" w:cs="Lotus Linotype" w:hint="cs"/>
          <w:sz w:val="24"/>
          <w:szCs w:val="24"/>
          <w:rtl/>
        </w:rPr>
        <w:t xml:space="preserve">      </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xml:space="preserve">، ج3، ص101. </w:t>
      </w:r>
    </w:p>
  </w:footnote>
  <w:footnote w:id="224">
    <w:p w14:paraId="66B64B4D" w14:textId="77777777" w:rsidR="008C0FB5" w:rsidRPr="001B5175" w:rsidRDefault="008C0FB5" w:rsidP="0099696D">
      <w:pPr>
        <w:pStyle w:val="af"/>
        <w:ind w:left="0" w:firstLine="0"/>
        <w:rPr>
          <w:rFonts w:ascii="Lotus Linotype" w:hAnsi="Lotus Linotype" w:cs="Lotus Linotype"/>
          <w:sz w:val="24"/>
          <w:szCs w:val="24"/>
          <w:rtl/>
        </w:rPr>
      </w:pPr>
      <w:r>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ص85.</w:t>
      </w:r>
    </w:p>
  </w:footnote>
  <w:footnote w:id="225">
    <w:p w14:paraId="7A73C0C8"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ابن القيم الجوزية، </w:t>
      </w:r>
      <w:r w:rsidRPr="001B5175">
        <w:rPr>
          <w:rFonts w:ascii="Lotus Linotype" w:hAnsi="Lotus Linotype" w:cs="Lotus Linotype"/>
          <w:b/>
          <w:bCs/>
          <w:i/>
          <w:iCs/>
          <w:sz w:val="24"/>
          <w:szCs w:val="24"/>
          <w:rtl/>
        </w:rPr>
        <w:t>أعلام الموقعين</w:t>
      </w:r>
      <w:r w:rsidRPr="001B5175">
        <w:rPr>
          <w:rFonts w:ascii="Lotus Linotype" w:hAnsi="Lotus Linotype" w:cs="Lotus Linotype"/>
          <w:sz w:val="24"/>
          <w:szCs w:val="24"/>
          <w:rtl/>
        </w:rPr>
        <w:t>، ج3، ص88.</w:t>
      </w:r>
    </w:p>
  </w:footnote>
  <w:footnote w:id="226">
    <w:p w14:paraId="45B7A381"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ابن القيم الجوزية، </w:t>
      </w:r>
      <w:r w:rsidRPr="001B5175">
        <w:rPr>
          <w:rFonts w:ascii="Lotus Linotype" w:hAnsi="Lotus Linotype" w:cs="Lotus Linotype"/>
          <w:b/>
          <w:bCs/>
          <w:i/>
          <w:iCs/>
          <w:sz w:val="24"/>
          <w:szCs w:val="24"/>
          <w:rtl/>
        </w:rPr>
        <w:t>أ</w:t>
      </w:r>
      <w:r w:rsidRPr="001B5175">
        <w:rPr>
          <w:rFonts w:ascii="Lotus Linotype" w:hAnsi="Lotus Linotype" w:cs="Lotus Linotype"/>
          <w:b/>
          <w:bCs/>
          <w:i/>
          <w:iCs/>
          <w:sz w:val="24"/>
          <w:szCs w:val="24"/>
          <w:rtl/>
        </w:rPr>
        <w:t>علام الموقعين</w:t>
      </w:r>
      <w:r w:rsidRPr="001B5175">
        <w:rPr>
          <w:rFonts w:ascii="Lotus Linotype" w:hAnsi="Lotus Linotype" w:cs="Lotus Linotype"/>
          <w:sz w:val="24"/>
          <w:szCs w:val="24"/>
          <w:rtl/>
        </w:rPr>
        <w:t xml:space="preserve">، ج3، ص96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97.</w:t>
      </w:r>
    </w:p>
  </w:footnote>
  <w:footnote w:id="227">
    <w:p w14:paraId="3108669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ابن قدامة المقدسي، </w:t>
      </w:r>
      <w:r w:rsidRPr="001B5175">
        <w:rPr>
          <w:rFonts w:ascii="Lotus Linotype" w:hAnsi="Lotus Linotype" w:cs="Lotus Linotype"/>
          <w:b/>
          <w:bCs/>
          <w:i/>
          <w:iCs/>
          <w:sz w:val="24"/>
          <w:szCs w:val="24"/>
          <w:rtl/>
        </w:rPr>
        <w:t>المغني</w:t>
      </w:r>
      <w:r w:rsidRPr="001B5175">
        <w:rPr>
          <w:rFonts w:ascii="Lotus Linotype" w:hAnsi="Lotus Linotype" w:cs="Lotus Linotype"/>
          <w:sz w:val="24"/>
          <w:szCs w:val="24"/>
          <w:rtl/>
        </w:rPr>
        <w:t>، ج4، ط3، دار المنار بالقاهرة، 1367هـ، ص283.</w:t>
      </w:r>
    </w:p>
  </w:footnote>
  <w:footnote w:id="228">
    <w:p w14:paraId="2A54FA8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أبو عبد الله محمد، </w:t>
      </w:r>
      <w:r w:rsidRPr="001B5175">
        <w:rPr>
          <w:rFonts w:ascii="Lotus Linotype" w:hAnsi="Lotus Linotype" w:cs="Lotus Linotype"/>
          <w:b/>
          <w:bCs/>
          <w:i/>
          <w:iCs/>
          <w:sz w:val="24"/>
          <w:szCs w:val="24"/>
          <w:rtl/>
        </w:rPr>
        <w:t>الفروع</w:t>
      </w:r>
      <w:r w:rsidRPr="001B5175">
        <w:rPr>
          <w:rFonts w:ascii="Lotus Linotype" w:hAnsi="Lotus Linotype" w:cs="Lotus Linotype"/>
          <w:sz w:val="24"/>
          <w:szCs w:val="24"/>
          <w:rtl/>
        </w:rPr>
        <w:t>، ج2، القاهرة، 1339هـ، ص371.</w:t>
      </w:r>
    </w:p>
  </w:footnote>
  <w:footnote w:id="229">
    <w:p w14:paraId="191B41E5"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الحطاب، </w:t>
      </w:r>
      <w:r w:rsidRPr="001B5175">
        <w:rPr>
          <w:rFonts w:ascii="Lotus Linotype" w:hAnsi="Lotus Linotype" w:cs="Lotus Linotype"/>
          <w:b/>
          <w:bCs/>
          <w:i/>
          <w:iCs/>
          <w:sz w:val="24"/>
          <w:szCs w:val="24"/>
          <w:rtl/>
        </w:rPr>
        <w:t>شرح على مواهب الجليل</w:t>
      </w:r>
      <w:r w:rsidRPr="001B5175">
        <w:rPr>
          <w:rFonts w:ascii="Lotus Linotype" w:hAnsi="Lotus Linotype" w:cs="Lotus Linotype"/>
          <w:sz w:val="24"/>
          <w:szCs w:val="24"/>
          <w:rtl/>
        </w:rPr>
        <w:t xml:space="preserve">، ج4، مطبعة السعادة، 1929م، ص263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264.</w:t>
      </w:r>
    </w:p>
  </w:footnote>
  <w:footnote w:id="230">
    <w:p w14:paraId="45BB9A8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(5) الحطاب</w:t>
      </w:r>
      <w:r w:rsidRPr="001B5175">
        <w:rPr>
          <w:rFonts w:ascii="Lotus Linotype" w:hAnsi="Lotus Linotype" w:cs="Lotus Linotype"/>
          <w:sz w:val="24"/>
          <w:szCs w:val="24"/>
          <w:rtl/>
        </w:rPr>
        <w:t xml:space="preserve">، المرجع السابق، ص267، وانظر في ذلك أيضاً: مالك، </w:t>
      </w:r>
      <w:r w:rsidRPr="001B5175">
        <w:rPr>
          <w:rFonts w:ascii="Lotus Linotype" w:hAnsi="Lotus Linotype" w:cs="Lotus Linotype"/>
          <w:b/>
          <w:bCs/>
          <w:i/>
          <w:iCs/>
          <w:sz w:val="24"/>
          <w:szCs w:val="24"/>
          <w:rtl/>
        </w:rPr>
        <w:t>المدونة الكبرى</w:t>
      </w:r>
      <w:r w:rsidRPr="001B5175">
        <w:rPr>
          <w:rFonts w:ascii="Lotus Linotype" w:hAnsi="Lotus Linotype" w:cs="Lotus Linotype"/>
          <w:sz w:val="24"/>
          <w:szCs w:val="24"/>
          <w:rtl/>
        </w:rPr>
        <w:t>، ج11، رواية سحنون، القاهرة، 1323هـ، ص64.</w:t>
      </w:r>
    </w:p>
  </w:footnote>
  <w:footnote w:id="231">
    <w:p w14:paraId="4924DB1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الشاطبي، </w:t>
      </w:r>
      <w:r w:rsidRPr="001B5175">
        <w:rPr>
          <w:rFonts w:ascii="Lotus Linotype" w:hAnsi="Lotus Linotype" w:cs="Lotus Linotype"/>
          <w:b/>
          <w:bCs/>
          <w:i/>
          <w:iCs/>
          <w:sz w:val="24"/>
          <w:szCs w:val="24"/>
          <w:rtl/>
        </w:rPr>
        <w:t>الموافقات</w:t>
      </w:r>
      <w:r w:rsidRPr="001B5175">
        <w:rPr>
          <w:rFonts w:ascii="Lotus Linotype" w:hAnsi="Lotus Linotype" w:cs="Lotus Linotype"/>
          <w:sz w:val="24"/>
          <w:szCs w:val="24"/>
          <w:rtl/>
        </w:rPr>
        <w:t xml:space="preserve">، ج2، ص323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324.</w:t>
      </w:r>
    </w:p>
  </w:footnote>
  <w:footnote w:id="232">
    <w:p w14:paraId="25F56F86"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ابن رجب، </w:t>
      </w:r>
      <w:r w:rsidRPr="001B5175">
        <w:rPr>
          <w:rFonts w:ascii="Lotus Linotype" w:hAnsi="Lotus Linotype" w:cs="Lotus Linotype"/>
          <w:b/>
          <w:bCs/>
          <w:i/>
          <w:iCs/>
          <w:sz w:val="24"/>
          <w:szCs w:val="24"/>
          <w:rtl/>
        </w:rPr>
        <w:t>القواعد في الفقه الإسلامي</w:t>
      </w:r>
      <w:r w:rsidRPr="001B5175">
        <w:rPr>
          <w:rFonts w:ascii="Lotus Linotype" w:hAnsi="Lotus Linotype" w:cs="Lotus Linotype"/>
          <w:sz w:val="24"/>
          <w:szCs w:val="24"/>
          <w:rtl/>
        </w:rPr>
        <w:t xml:space="preserve">، ط1، مكتبة الكليات الأزهرية، مصر، 1971، ص348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349.</w:t>
      </w:r>
    </w:p>
  </w:footnote>
  <w:footnote w:id="233">
    <w:p w14:paraId="53C438A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الزيلعي، تبين الحقائق، </w:t>
      </w:r>
      <w:r w:rsidRPr="001B5175">
        <w:rPr>
          <w:rFonts w:ascii="Lotus Linotype" w:hAnsi="Lotus Linotype" w:cs="Lotus Linotype"/>
          <w:b/>
          <w:bCs/>
          <w:i/>
          <w:iCs/>
          <w:sz w:val="24"/>
          <w:szCs w:val="24"/>
          <w:rtl/>
        </w:rPr>
        <w:t>شرح كنز الدقائق</w:t>
      </w:r>
      <w:r w:rsidRPr="001B5175">
        <w:rPr>
          <w:rFonts w:ascii="Lotus Linotype" w:hAnsi="Lotus Linotype" w:cs="Lotus Linotype"/>
          <w:sz w:val="24"/>
          <w:szCs w:val="24"/>
          <w:rtl/>
        </w:rPr>
        <w:t xml:space="preserve">، بولاق، 1313هـ، ص125. </w:t>
      </w:r>
    </w:p>
  </w:footnote>
  <w:footnote w:id="234">
    <w:p w14:paraId="29BF2C4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قاضي خان، </w:t>
      </w:r>
      <w:r w:rsidRPr="001B5175">
        <w:rPr>
          <w:rFonts w:ascii="Lotus Linotype" w:hAnsi="Lotus Linotype" w:cs="Lotus Linotype"/>
          <w:b/>
          <w:bCs/>
          <w:i/>
          <w:iCs/>
          <w:sz w:val="24"/>
          <w:szCs w:val="24"/>
          <w:rtl/>
        </w:rPr>
        <w:t>الفتاوي الخانية</w:t>
      </w:r>
      <w:r w:rsidRPr="001B5175">
        <w:rPr>
          <w:rFonts w:ascii="Lotus Linotype" w:hAnsi="Lotus Linotype" w:cs="Lotus Linotype"/>
          <w:sz w:val="24"/>
          <w:szCs w:val="24"/>
          <w:rtl/>
        </w:rPr>
        <w:t>، مطبوعة على هامش الفتاوى الهندية، المرجع السابق، ص322.</w:t>
      </w:r>
    </w:p>
  </w:footnote>
  <w:footnote w:id="235">
    <w:p w14:paraId="2611603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سورة النور: الآية 33.</w:t>
      </w:r>
    </w:p>
  </w:footnote>
  <w:footnote w:id="236">
    <w:p w14:paraId="03A47346"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الكاساني، </w:t>
      </w:r>
      <w:r w:rsidRPr="001B5175">
        <w:rPr>
          <w:rFonts w:ascii="Lotus Linotype" w:hAnsi="Lotus Linotype" w:cs="Lotus Linotype"/>
          <w:b/>
          <w:bCs/>
          <w:i/>
          <w:iCs/>
          <w:sz w:val="24"/>
          <w:szCs w:val="24"/>
          <w:rtl/>
        </w:rPr>
        <w:t>البدائع</w:t>
      </w:r>
      <w:r w:rsidRPr="001B5175">
        <w:rPr>
          <w:rFonts w:ascii="Lotus Linotype" w:hAnsi="Lotus Linotype" w:cs="Lotus Linotype"/>
          <w:sz w:val="24"/>
          <w:szCs w:val="24"/>
          <w:rtl/>
        </w:rPr>
        <w:t>، ج4، ص190.</w:t>
      </w:r>
    </w:p>
  </w:footnote>
  <w:footnote w:id="237">
    <w:p w14:paraId="56E709B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(5) الكاساني، </w:t>
      </w:r>
      <w:r w:rsidRPr="001B5175">
        <w:rPr>
          <w:rFonts w:ascii="Lotus Linotype" w:hAnsi="Lotus Linotype" w:cs="Lotus Linotype"/>
          <w:b/>
          <w:bCs/>
          <w:i/>
          <w:iCs/>
          <w:sz w:val="24"/>
          <w:szCs w:val="24"/>
          <w:rtl/>
        </w:rPr>
        <w:t>البدائع</w:t>
      </w:r>
      <w:r w:rsidRPr="001B5175">
        <w:rPr>
          <w:rFonts w:ascii="Lotus Linotype" w:hAnsi="Lotus Linotype" w:cs="Lotus Linotype"/>
          <w:sz w:val="24"/>
          <w:szCs w:val="24"/>
          <w:rtl/>
        </w:rPr>
        <w:t>، ج4، ص176.</w:t>
      </w:r>
    </w:p>
  </w:footnote>
  <w:footnote w:id="238">
    <w:p w14:paraId="786D722C"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الكاساني، </w:t>
      </w:r>
      <w:r w:rsidRPr="001B5175">
        <w:rPr>
          <w:rFonts w:ascii="Lotus Linotype" w:hAnsi="Lotus Linotype" w:cs="Lotus Linotype"/>
          <w:b/>
          <w:bCs/>
          <w:i/>
          <w:iCs/>
          <w:sz w:val="24"/>
          <w:szCs w:val="24"/>
          <w:rtl/>
        </w:rPr>
        <w:t>البدائع</w:t>
      </w:r>
      <w:r w:rsidRPr="001B5175">
        <w:rPr>
          <w:rFonts w:ascii="Lotus Linotype" w:hAnsi="Lotus Linotype" w:cs="Lotus Linotype"/>
          <w:sz w:val="24"/>
          <w:szCs w:val="24"/>
          <w:rtl/>
        </w:rPr>
        <w:t>، ج4، ص178.</w:t>
      </w:r>
    </w:p>
  </w:footnote>
  <w:footnote w:id="239">
    <w:p w14:paraId="19C1EC0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ابن عابدين، </w:t>
      </w:r>
      <w:r w:rsidRPr="001B5175">
        <w:rPr>
          <w:rFonts w:ascii="Lotus Linotype" w:hAnsi="Lotus Linotype" w:cs="Lotus Linotype"/>
          <w:b/>
          <w:bCs/>
          <w:i/>
          <w:iCs/>
          <w:sz w:val="24"/>
          <w:szCs w:val="24"/>
          <w:rtl/>
        </w:rPr>
        <w:t>رد المحتار على حاشية الدر المختار</w:t>
      </w:r>
      <w:r w:rsidRPr="001B5175">
        <w:rPr>
          <w:rFonts w:ascii="Lotus Linotype" w:hAnsi="Lotus Linotype" w:cs="Lotus Linotype"/>
          <w:sz w:val="24"/>
          <w:szCs w:val="24"/>
          <w:rtl/>
        </w:rPr>
        <w:t xml:space="preserve">، ج5، المطبعة الكبرى الأميرية، القاهرة، ص35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36.</w:t>
      </w:r>
    </w:p>
  </w:footnote>
  <w:footnote w:id="240">
    <w:p w14:paraId="3F87E37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الكاساني، </w:t>
      </w:r>
      <w:r w:rsidRPr="001B5175">
        <w:rPr>
          <w:rFonts w:ascii="Lotus Linotype" w:hAnsi="Lotus Linotype" w:cs="Lotus Linotype"/>
          <w:b/>
          <w:bCs/>
          <w:i/>
          <w:iCs/>
          <w:sz w:val="24"/>
          <w:szCs w:val="24"/>
          <w:rtl/>
        </w:rPr>
        <w:t>البدائع</w:t>
      </w:r>
      <w:r w:rsidRPr="001B5175">
        <w:rPr>
          <w:rFonts w:ascii="Lotus Linotype" w:hAnsi="Lotus Linotype" w:cs="Lotus Linotype"/>
          <w:sz w:val="24"/>
          <w:szCs w:val="24"/>
          <w:rtl/>
        </w:rPr>
        <w:t>، ج5، ص144.</w:t>
      </w:r>
    </w:p>
  </w:footnote>
  <w:footnote w:id="241">
    <w:p w14:paraId="5B2E24C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الكاساني، </w:t>
      </w:r>
      <w:r w:rsidRPr="001B5175">
        <w:rPr>
          <w:rFonts w:ascii="Lotus Linotype" w:hAnsi="Lotus Linotype" w:cs="Lotus Linotype"/>
          <w:b/>
          <w:bCs/>
          <w:i/>
          <w:iCs/>
          <w:sz w:val="24"/>
          <w:szCs w:val="24"/>
          <w:rtl/>
        </w:rPr>
        <w:t>البدائع</w:t>
      </w:r>
      <w:r w:rsidRPr="001B5175">
        <w:rPr>
          <w:rFonts w:ascii="Lotus Linotype" w:hAnsi="Lotus Linotype" w:cs="Lotus Linotype"/>
          <w:sz w:val="24"/>
          <w:szCs w:val="24"/>
          <w:rtl/>
        </w:rPr>
        <w:t>، ج5، ص143.</w:t>
      </w:r>
    </w:p>
  </w:footnote>
  <w:footnote w:id="242">
    <w:p w14:paraId="1446746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المرجع نفسه، ص150.</w:t>
      </w:r>
    </w:p>
  </w:footnote>
  <w:footnote w:id="243">
    <w:p w14:paraId="6DECB2D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ا شار الية د. محمد حسن قاسم ، مرجع سابق ص340-341 </w:t>
      </w:r>
      <w:r w:rsidRPr="001B5175">
        <w:rPr>
          <w:rFonts w:ascii="Lotus Linotype" w:hAnsi="Lotus Linotype" w:cs="Lotus Linotype"/>
          <w:sz w:val="24"/>
          <w:szCs w:val="24"/>
        </w:rPr>
        <w:t xml:space="preserve"> </w:t>
      </w:r>
    </w:p>
  </w:footnote>
  <w:footnote w:id="244">
    <w:p w14:paraId="2C96B682" w14:textId="77777777" w:rsidR="008C0FB5" w:rsidRPr="001B5175" w:rsidRDefault="008C0FB5" w:rsidP="00921573">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عبد الحي حجازي، </w:t>
      </w:r>
      <w:r w:rsidRPr="001B5175">
        <w:rPr>
          <w:rFonts w:ascii="Lotus Linotype" w:hAnsi="Lotus Linotype" w:cs="Lotus Linotype"/>
          <w:b/>
          <w:bCs/>
          <w:i/>
          <w:iCs/>
          <w:sz w:val="24"/>
          <w:szCs w:val="24"/>
          <w:rtl/>
        </w:rPr>
        <w:t>النظرية العامة للالتزام في القانون المدني الكويتي</w:t>
      </w:r>
      <w:r w:rsidRPr="001B5175">
        <w:rPr>
          <w:rFonts w:ascii="Lotus Linotype" w:hAnsi="Lotus Linotype" w:cs="Lotus Linotype"/>
          <w:sz w:val="24"/>
          <w:szCs w:val="24"/>
          <w:rtl/>
        </w:rPr>
        <w:t>، المرجع السابق، ص343.</w:t>
      </w:r>
    </w:p>
  </w:footnote>
  <w:footnote w:id="245">
    <w:p w14:paraId="2CE45432"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وذلك لأن النظرية التقليدية استبعدت فكرة الباعث الدافع على التعاقد التي نادى بها الفقهاء الكنسيون، انظر في ذلك: أنور سلطان، </w:t>
      </w:r>
      <w:r w:rsidRPr="001B5175">
        <w:rPr>
          <w:rFonts w:ascii="Lotus Linotype" w:hAnsi="Lotus Linotype" w:cs="Lotus Linotype"/>
          <w:b/>
          <w:bCs/>
          <w:i/>
          <w:iCs/>
          <w:sz w:val="24"/>
          <w:szCs w:val="24"/>
          <w:rtl/>
        </w:rPr>
        <w:t>مصادر الالتزام</w:t>
      </w:r>
      <w:r w:rsidRPr="001B5175">
        <w:rPr>
          <w:rFonts w:ascii="Lotus Linotype" w:hAnsi="Lotus Linotype" w:cs="Lotus Linotype"/>
          <w:sz w:val="24"/>
          <w:szCs w:val="24"/>
          <w:rtl/>
        </w:rPr>
        <w:t>، ط1970، المرجع السابق، ص176.</w:t>
      </w:r>
    </w:p>
  </w:footnote>
  <w:footnote w:id="246">
    <w:p w14:paraId="4E7EDA21"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عبد المنعم فرج الصدة، المرجع السابق، ص127.</w:t>
      </w:r>
    </w:p>
  </w:footnote>
  <w:footnote w:id="247">
    <w:p w14:paraId="73830744"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محكمة باريس الاستئنافية، 26 ديسمبر، سنة 1899، جازيت دي باليه، 1900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132، نقلاً عن السنهوري، </w:t>
      </w:r>
      <w:r w:rsidRPr="001B5175">
        <w:rPr>
          <w:rFonts w:ascii="Lotus Linotype" w:hAnsi="Lotus Linotype" w:cs="Lotus Linotype"/>
          <w:b/>
          <w:bCs/>
          <w:i/>
          <w:iCs/>
          <w:sz w:val="24"/>
          <w:szCs w:val="24"/>
          <w:rtl/>
        </w:rPr>
        <w:t>مصادر</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الحق</w:t>
      </w:r>
      <w:r w:rsidRPr="001B5175">
        <w:rPr>
          <w:rFonts w:ascii="Lotus Linotype" w:hAnsi="Lotus Linotype" w:cs="Lotus Linotype"/>
          <w:sz w:val="24"/>
          <w:szCs w:val="24"/>
          <w:rtl/>
        </w:rPr>
        <w:t>، المرجع السابق، ص31.</w:t>
      </w:r>
    </w:p>
  </w:footnote>
  <w:footnote w:id="248">
    <w:p w14:paraId="04BAAF65"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محكمة بوا الاستئنافية، 28 يوليو، 1906، سيريه، 1907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2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61، نقلاً عن السنهوري، </w:t>
      </w:r>
      <w:r w:rsidRPr="001B5175">
        <w:rPr>
          <w:rFonts w:ascii="Lotus Linotype" w:hAnsi="Lotus Linotype" w:cs="Lotus Linotype"/>
          <w:b/>
          <w:bCs/>
          <w:i/>
          <w:iCs/>
          <w:sz w:val="24"/>
          <w:szCs w:val="24"/>
          <w:rtl/>
        </w:rPr>
        <w:t>مصادر الحق</w:t>
      </w:r>
      <w:r w:rsidRPr="001B5175">
        <w:rPr>
          <w:rFonts w:ascii="Lotus Linotype" w:hAnsi="Lotus Linotype" w:cs="Lotus Linotype"/>
          <w:sz w:val="24"/>
          <w:szCs w:val="24"/>
          <w:rtl/>
        </w:rPr>
        <w:t xml:space="preserve">، المرجع السابق، ص31، ولا يزال القضاء الفرنسي يسير على نفس النهج في اعتباره للباعث غير المشروع في عقود المعاوضة. </w:t>
      </w:r>
    </w:p>
    <w:p w14:paraId="08E77A8E" w14:textId="77777777" w:rsidR="008C0FB5" w:rsidRPr="001B5175" w:rsidRDefault="008C0FB5" w:rsidP="00FB0835">
      <w:pPr>
        <w:pStyle w:val="af"/>
        <w:bidi w:val="0"/>
        <w:ind w:left="0" w:firstLine="0"/>
        <w:rPr>
          <w:rFonts w:ascii="Times New Roman" w:hAnsi="Times New Roman" w:cs="Times New Roman"/>
          <w:sz w:val="24"/>
          <w:szCs w:val="24"/>
          <w:rtl/>
        </w:rPr>
      </w:pPr>
      <w:proofErr w:type="spellStart"/>
      <w:r w:rsidRPr="001B5175">
        <w:rPr>
          <w:rFonts w:ascii="Times New Roman" w:hAnsi="Times New Roman" w:cs="Times New Roman"/>
          <w:sz w:val="24"/>
          <w:szCs w:val="24"/>
        </w:rPr>
        <w:t>Ciss</w:t>
      </w:r>
      <w:proofErr w:type="spellEnd"/>
      <w:r w:rsidRPr="001B5175">
        <w:rPr>
          <w:rFonts w:ascii="Times New Roman" w:hAnsi="Times New Roman" w:cs="Times New Roman"/>
          <w:sz w:val="24"/>
          <w:szCs w:val="24"/>
        </w:rPr>
        <w:t xml:space="preserve"> civil 18</w:t>
      </w:r>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juin</w:t>
      </w:r>
      <w:proofErr w:type="spellEnd"/>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1981</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s1981</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3</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454.</w:t>
      </w:r>
    </w:p>
  </w:footnote>
  <w:footnote w:id="249">
    <w:p w14:paraId="33554A4A" w14:textId="77777777" w:rsidR="008C0FB5" w:rsidRPr="001B5175" w:rsidRDefault="008C0FB5" w:rsidP="00921573">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نقض فرنسي، في 4 يوليو سنة 1892، دالوز، 92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500، نقلاً عن السنهوري، </w:t>
      </w:r>
      <w:r w:rsidRPr="001B5175">
        <w:rPr>
          <w:rFonts w:ascii="Lotus Linotype" w:hAnsi="Lotus Linotype" w:cs="Lotus Linotype"/>
          <w:b/>
          <w:bCs/>
          <w:i/>
          <w:iCs/>
          <w:sz w:val="24"/>
          <w:szCs w:val="24"/>
          <w:rtl/>
        </w:rPr>
        <w:t>الوسيط</w:t>
      </w:r>
      <w:r w:rsidRPr="001B5175">
        <w:rPr>
          <w:rFonts w:ascii="Lotus Linotype" w:hAnsi="Lotus Linotype" w:cs="Lotus Linotype"/>
          <w:sz w:val="24"/>
          <w:szCs w:val="24"/>
          <w:rtl/>
        </w:rPr>
        <w:t>، المرجع السابق، ص460.</w:t>
      </w:r>
    </w:p>
  </w:footnote>
  <w:footnote w:id="250">
    <w:p w14:paraId="6A0FD54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نقض مدني فرنسي، 14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10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1940، ص174، 28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10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1952، نقلاً عن عبد الفتاح عبد الباقي، </w:t>
      </w:r>
      <w:r w:rsidRPr="001B5175">
        <w:rPr>
          <w:rFonts w:ascii="Lotus Linotype" w:hAnsi="Lotus Linotype" w:cs="Lotus Linotype"/>
          <w:b/>
          <w:bCs/>
          <w:i/>
          <w:iCs/>
          <w:sz w:val="24"/>
          <w:szCs w:val="24"/>
          <w:rtl/>
        </w:rPr>
        <w:t>نظرية العقد</w:t>
      </w:r>
      <w:r w:rsidRPr="001B5175">
        <w:rPr>
          <w:rFonts w:ascii="Lotus Linotype" w:hAnsi="Lotus Linotype" w:cs="Lotus Linotype"/>
          <w:sz w:val="24"/>
          <w:szCs w:val="24"/>
          <w:rtl/>
        </w:rPr>
        <w:t>، المرجع السابق، ص444.</w:t>
      </w:r>
    </w:p>
  </w:footnote>
  <w:footnote w:id="251">
    <w:p w14:paraId="7C75907A"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نقض مدني فرنسي، 11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مارس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1908، سيريه، 1908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1970، نقلاً عن عبد الفتاح عبد الباقي، المرجع السابق، ص444، ولم يخرج القضاء الفرنسي إلى وقت قريب باعتباره للباعث غير المشروع في عقود التبرعات:</w:t>
      </w:r>
    </w:p>
    <w:p w14:paraId="4534A569" w14:textId="77777777" w:rsidR="008C0FB5" w:rsidRPr="001B5175" w:rsidRDefault="008C0FB5" w:rsidP="00FB0835">
      <w:pPr>
        <w:pStyle w:val="af"/>
        <w:bidi w:val="0"/>
        <w:ind w:left="0" w:firstLine="0"/>
        <w:rPr>
          <w:rFonts w:ascii="Times New Roman" w:hAnsi="Times New Roman" w:cs="Times New Roman"/>
          <w:sz w:val="24"/>
          <w:szCs w:val="24"/>
          <w:rtl/>
        </w:rPr>
      </w:pPr>
      <w:r w:rsidRPr="001B5175">
        <w:rPr>
          <w:rFonts w:ascii="Times New Roman" w:hAnsi="Times New Roman" w:cs="Times New Roman"/>
          <w:sz w:val="24"/>
          <w:szCs w:val="24"/>
        </w:rPr>
        <w:t>Cass civil</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10</w:t>
      </w:r>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janvier</w:t>
      </w:r>
      <w:proofErr w:type="spellEnd"/>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1979</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s1979</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1 – 215.</w:t>
      </w:r>
    </w:p>
  </w:footnote>
  <w:footnote w:id="252">
    <w:p w14:paraId="0FBA8830"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(1) انظر في ذلك: الأستاذ السنهوري، </w:t>
      </w:r>
      <w:r w:rsidRPr="001B5175">
        <w:rPr>
          <w:rFonts w:ascii="Lotus Linotype" w:hAnsi="Lotus Linotype" w:cs="Lotus Linotype"/>
          <w:b/>
          <w:bCs/>
          <w:i/>
          <w:iCs/>
          <w:sz w:val="24"/>
          <w:szCs w:val="24"/>
          <w:rtl/>
        </w:rPr>
        <w:t>مصادر الحق</w:t>
      </w:r>
      <w:r w:rsidRPr="001B5175">
        <w:rPr>
          <w:rFonts w:ascii="Lotus Linotype" w:hAnsi="Lotus Linotype" w:cs="Lotus Linotype"/>
          <w:sz w:val="24"/>
          <w:szCs w:val="24"/>
          <w:rtl/>
        </w:rPr>
        <w:t xml:space="preserve">، ج4، ص33 وما بعدها، </w:t>
      </w:r>
      <w:r w:rsidRPr="001B5175">
        <w:rPr>
          <w:rFonts w:ascii="Lotus Linotype" w:hAnsi="Lotus Linotype" w:cs="Lotus Linotype"/>
          <w:b/>
          <w:bCs/>
          <w:i/>
          <w:iCs/>
          <w:sz w:val="24"/>
          <w:szCs w:val="24"/>
          <w:rtl/>
        </w:rPr>
        <w:t>الوسيط</w:t>
      </w:r>
      <w:r w:rsidRPr="001B5175">
        <w:rPr>
          <w:rFonts w:ascii="Lotus Linotype" w:hAnsi="Lotus Linotype" w:cs="Lotus Linotype"/>
          <w:sz w:val="24"/>
          <w:szCs w:val="24"/>
          <w:rtl/>
        </w:rPr>
        <w:t>، ج1، ص463 وما بعدها، نظرية العقد، المرجع السابق، ص585 وما بعدها.</w:t>
      </w:r>
    </w:p>
  </w:footnote>
  <w:footnote w:id="253">
    <w:p w14:paraId="02074127" w14:textId="77777777" w:rsidR="008C0FB5" w:rsidRPr="001B5175" w:rsidRDefault="008C0FB5" w:rsidP="00FB0835">
      <w:pPr>
        <w:pStyle w:val="af"/>
        <w:bidi w:val="0"/>
        <w:ind w:left="0" w:firstLine="0"/>
        <w:rPr>
          <w:rFonts w:ascii="Times New Roman" w:hAnsi="Times New Roman" w:cs="Times New Roman"/>
          <w:sz w:val="24"/>
          <w:szCs w:val="24"/>
          <w:rtl/>
        </w:rPr>
      </w:pPr>
      <w:r w:rsidRPr="001B5175">
        <w:rPr>
          <w:rFonts w:ascii="Times New Roman" w:hAnsi="Times New Roman" w:cs="Times New Roman"/>
          <w:sz w:val="24"/>
          <w:szCs w:val="24"/>
          <w:rtl/>
        </w:rPr>
        <w:t>)</w:t>
      </w:r>
      <w:r w:rsidRPr="001B5175">
        <w:rPr>
          <w:rFonts w:ascii="Times New Roman" w:hAnsi="Times New Roman" w:cs="Times New Roman"/>
          <w:sz w:val="24"/>
          <w:szCs w:val="24"/>
        </w:rPr>
        <w:footnoteRef/>
      </w:r>
      <w:r w:rsidRPr="001B5175">
        <w:rPr>
          <w:rFonts w:ascii="Times New Roman" w:hAnsi="Times New Roman" w:cs="Times New Roman"/>
          <w:sz w:val="24"/>
          <w:szCs w:val="24"/>
          <w:rtl/>
        </w:rPr>
        <w:t>(</w:t>
      </w:r>
      <w:proofErr w:type="spellStart"/>
      <w:r w:rsidRPr="001B5175">
        <w:rPr>
          <w:rFonts w:ascii="Times New Roman" w:hAnsi="Times New Roman" w:cs="Times New Roman"/>
          <w:sz w:val="24"/>
          <w:szCs w:val="24"/>
        </w:rPr>
        <w:t>Reig</w:t>
      </w:r>
      <w:proofErr w:type="spellEnd"/>
      <w:r w:rsidRPr="001B5175">
        <w:rPr>
          <w:rFonts w:ascii="Times New Roman" w:hAnsi="Times New Roman" w:cs="Times New Roman"/>
          <w:sz w:val="24"/>
          <w:szCs w:val="24"/>
        </w:rPr>
        <w:t xml:space="preserve"> Alfred</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 xml:space="preserve">le pole de la </w:t>
      </w:r>
      <w:proofErr w:type="spellStart"/>
      <w:r w:rsidRPr="001B5175">
        <w:rPr>
          <w:rFonts w:ascii="Times New Roman" w:hAnsi="Times New Roman" w:cs="Times New Roman"/>
          <w:sz w:val="24"/>
          <w:szCs w:val="24"/>
        </w:rPr>
        <w:t>volonte</w:t>
      </w:r>
      <w:proofErr w:type="spellEnd"/>
      <w:r w:rsidRPr="001B5175">
        <w:rPr>
          <w:rFonts w:ascii="Times New Roman" w:hAnsi="Times New Roman" w:cs="Times New Roman"/>
          <w:sz w:val="24"/>
          <w:szCs w:val="24"/>
        </w:rPr>
        <w:t xml:space="preserve"> </w:t>
      </w:r>
      <w:proofErr w:type="spellStart"/>
      <w:r w:rsidRPr="001B5175">
        <w:rPr>
          <w:rFonts w:ascii="Times New Roman" w:hAnsi="Times New Roman" w:cs="Times New Roman"/>
          <w:sz w:val="24"/>
          <w:szCs w:val="24"/>
        </w:rPr>
        <w:t>dans</w:t>
      </w:r>
      <w:proofErr w:type="spellEnd"/>
      <w:r w:rsidRPr="001B5175">
        <w:rPr>
          <w:rFonts w:ascii="Times New Roman" w:hAnsi="Times New Roman" w:cs="Times New Roman"/>
          <w:sz w:val="24"/>
          <w:szCs w:val="24"/>
        </w:rPr>
        <w:t xml:space="preserve"> 1 act </w:t>
      </w:r>
      <w:proofErr w:type="spellStart"/>
      <w:r w:rsidRPr="001B5175">
        <w:rPr>
          <w:rFonts w:ascii="Times New Roman" w:hAnsi="Times New Roman" w:cs="Times New Roman"/>
          <w:sz w:val="24"/>
          <w:szCs w:val="24"/>
        </w:rPr>
        <w:t>juridique</w:t>
      </w:r>
      <w:proofErr w:type="spellEnd"/>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en</w:t>
      </w:r>
      <w:proofErr w:type="spellEnd"/>
      <w:r w:rsidRPr="001B5175">
        <w:rPr>
          <w:rFonts w:ascii="Times New Roman" w:hAnsi="Times New Roman" w:cs="Times New Roman"/>
          <w:sz w:val="24"/>
          <w:szCs w:val="24"/>
        </w:rPr>
        <w:t xml:space="preserve"> droit civil </w:t>
      </w:r>
      <w:proofErr w:type="spellStart"/>
      <w:r w:rsidRPr="001B5175">
        <w:rPr>
          <w:rFonts w:ascii="Times New Roman" w:hAnsi="Times New Roman" w:cs="Times New Roman"/>
          <w:sz w:val="24"/>
          <w:szCs w:val="24"/>
        </w:rPr>
        <w:t>Francaiset</w:t>
      </w:r>
      <w:proofErr w:type="spellEnd"/>
      <w:r w:rsidRPr="001B5175">
        <w:rPr>
          <w:rFonts w:ascii="Times New Roman" w:hAnsi="Times New Roman" w:cs="Times New Roman"/>
          <w:sz w:val="24"/>
          <w:szCs w:val="24"/>
        </w:rPr>
        <w:t xml:space="preserve"> </w:t>
      </w:r>
      <w:proofErr w:type="spellStart"/>
      <w:r w:rsidRPr="001B5175">
        <w:rPr>
          <w:rFonts w:ascii="Times New Roman" w:hAnsi="Times New Roman" w:cs="Times New Roman"/>
          <w:sz w:val="24"/>
          <w:szCs w:val="24"/>
        </w:rPr>
        <w:t>Allemand</w:t>
      </w:r>
      <w:proofErr w:type="spellEnd"/>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these</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Strasbourg</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1958</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295 – 296.</w:t>
      </w:r>
    </w:p>
  </w:footnote>
  <w:footnote w:id="254">
    <w:p w14:paraId="6B5B32FB"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انظر في ذلك: د. نزيه صادق المهدي، محاولة للتوفيق بين المذهبين الشخصي والموضوعي في الالتزام، بحث منشور في مجلة القانون والاقتصاد، سنة 1979، أعداد 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4، ص99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103. </w:t>
      </w:r>
    </w:p>
  </w:footnote>
  <w:footnote w:id="255">
    <w:p w14:paraId="24BFC1C5" w14:textId="77777777" w:rsidR="008C0FB5" w:rsidRPr="001B5175" w:rsidRDefault="008C0FB5" w:rsidP="00FB0835">
      <w:pPr>
        <w:pStyle w:val="af"/>
        <w:bidi w:val="0"/>
        <w:ind w:left="0" w:firstLine="0"/>
        <w:rPr>
          <w:rFonts w:ascii="Times New Roman" w:hAnsi="Times New Roman" w:cs="Times New Roman"/>
          <w:sz w:val="24"/>
          <w:szCs w:val="24"/>
          <w:rtl/>
        </w:rPr>
      </w:pPr>
      <w:r w:rsidRPr="001B5175">
        <w:rPr>
          <w:rFonts w:ascii="Times New Roman" w:hAnsi="Times New Roman" w:cs="Times New Roman"/>
          <w:sz w:val="24"/>
          <w:szCs w:val="24"/>
        </w:rPr>
        <w:t>(</w:t>
      </w:r>
      <w:r w:rsidRPr="001B5175">
        <w:rPr>
          <w:rFonts w:ascii="Times New Roman" w:hAnsi="Times New Roman" w:cs="Times New Roman"/>
          <w:sz w:val="24"/>
          <w:szCs w:val="24"/>
        </w:rPr>
        <w:footnoteRef/>
      </w:r>
      <w:r w:rsidRPr="001B5175">
        <w:rPr>
          <w:rFonts w:ascii="Times New Roman" w:hAnsi="Times New Roman" w:cs="Times New Roman"/>
          <w:sz w:val="24"/>
          <w:szCs w:val="24"/>
          <w:rtl/>
        </w:rPr>
        <w:t>(</w:t>
      </w:r>
      <w:r w:rsidRPr="001B5175">
        <w:rPr>
          <w:rFonts w:ascii="Times New Roman" w:hAnsi="Times New Roman" w:cs="Times New Roman"/>
          <w:sz w:val="24"/>
          <w:szCs w:val="24"/>
        </w:rPr>
        <w:t xml:space="preserve"> </w:t>
      </w:r>
      <w:proofErr w:type="spellStart"/>
      <w:r w:rsidRPr="001B5175">
        <w:rPr>
          <w:rFonts w:ascii="Times New Roman" w:hAnsi="Times New Roman" w:cs="Times New Roman"/>
          <w:sz w:val="24"/>
          <w:szCs w:val="24"/>
        </w:rPr>
        <w:t>Reig</w:t>
      </w:r>
      <w:proofErr w:type="spellEnd"/>
      <w:r w:rsidRPr="001B5175">
        <w:rPr>
          <w:rFonts w:ascii="Times New Roman" w:hAnsi="Times New Roman" w:cs="Times New Roman"/>
          <w:sz w:val="24"/>
          <w:szCs w:val="24"/>
        </w:rPr>
        <w:t xml:space="preserve"> Alfred</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Op. Cit.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259.</w:t>
      </w:r>
    </w:p>
  </w:footnote>
  <w:footnote w:id="256">
    <w:p w14:paraId="6B797369" w14:textId="77777777" w:rsidR="008C0FB5" w:rsidRPr="001B5175" w:rsidRDefault="008C0FB5" w:rsidP="00921573">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والسبب هذا لا يعتبر كذلك إلا إذا تضمنته صيغة التعبير عن الإرادة أما إذا لم تتضمنه فلا يعتد به.</w:t>
      </w:r>
    </w:p>
  </w:footnote>
  <w:footnote w:id="257">
    <w:p w14:paraId="2D4D82F9"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انظر في ذلك: إسماعيل علم الدين، نحو مفهوم جديد للتصرف المجرد، بحث منشور في مجلة إدارة قضايا الحكومة، ع1، س20، مارس 1976.</w:t>
      </w:r>
    </w:p>
  </w:footnote>
  <w:footnote w:id="258">
    <w:p w14:paraId="11A65FCE"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ويمكن تحديد مفهوم الآداب العامة بأنها ما ساد واشتهر لدى الناس في زمن معين على أن يكون أساساً لتقدير التصرفات والأعمال من الناحية الأدبية، انظر في ذلك: السنهوري، </w:t>
      </w:r>
      <w:r w:rsidRPr="001B5175">
        <w:rPr>
          <w:rFonts w:ascii="Lotus Linotype" w:hAnsi="Lotus Linotype" w:cs="Lotus Linotype"/>
          <w:b/>
          <w:bCs/>
          <w:i/>
          <w:iCs/>
          <w:sz w:val="24"/>
          <w:szCs w:val="24"/>
          <w:rtl/>
        </w:rPr>
        <w:t>مصادر الحق</w:t>
      </w:r>
      <w:r w:rsidRPr="001B5175">
        <w:rPr>
          <w:rFonts w:ascii="Lotus Linotype" w:hAnsi="Lotus Linotype" w:cs="Lotus Linotype"/>
          <w:sz w:val="24"/>
          <w:szCs w:val="24"/>
          <w:rtl/>
        </w:rPr>
        <w:t>، ج4، ص43.</w:t>
      </w:r>
    </w:p>
  </w:footnote>
  <w:footnote w:id="259">
    <w:p w14:paraId="36B6110B"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السنهوري، </w:t>
      </w:r>
      <w:r w:rsidRPr="001B5175">
        <w:rPr>
          <w:rFonts w:ascii="Lotus Linotype" w:hAnsi="Lotus Linotype" w:cs="Lotus Linotype"/>
          <w:b/>
          <w:bCs/>
          <w:i/>
          <w:iCs/>
          <w:sz w:val="24"/>
          <w:szCs w:val="24"/>
          <w:rtl/>
        </w:rPr>
        <w:t>مصادر الحق</w:t>
      </w:r>
      <w:r w:rsidRPr="001B5175">
        <w:rPr>
          <w:rFonts w:ascii="Lotus Linotype" w:hAnsi="Lotus Linotype" w:cs="Lotus Linotype"/>
          <w:sz w:val="24"/>
          <w:szCs w:val="24"/>
          <w:rtl/>
        </w:rPr>
        <w:t>، ج4، ص44.</w:t>
      </w:r>
    </w:p>
  </w:footnote>
  <w:footnote w:id="260">
    <w:p w14:paraId="01B8971C"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عبد الهادي العطافي، </w:t>
      </w:r>
      <w:r w:rsidRPr="001B5175">
        <w:rPr>
          <w:rFonts w:ascii="Lotus Linotype" w:hAnsi="Lotus Linotype" w:cs="Lotus Linotype"/>
          <w:b/>
          <w:bCs/>
          <w:i/>
          <w:iCs/>
          <w:sz w:val="24"/>
          <w:szCs w:val="24"/>
          <w:rtl/>
        </w:rPr>
        <w:t>صور من طرق التعبير عن الإرادة في القانون الانكليزي والتقنين المدني السوداني</w:t>
      </w:r>
      <w:r w:rsidRPr="001B5175">
        <w:rPr>
          <w:rFonts w:ascii="Lotus Linotype" w:hAnsi="Lotus Linotype" w:cs="Lotus Linotype"/>
          <w:sz w:val="24"/>
          <w:szCs w:val="24"/>
          <w:rtl/>
        </w:rPr>
        <w:t>، بحث منشور في مجلة القانون والاقتصاد، ع1، س44، مارس 1974، ص119.</w:t>
      </w:r>
    </w:p>
  </w:footnote>
  <w:footnote w:id="261">
    <w:p w14:paraId="2189C4EC"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المادة 138 من القانون المدني الألماني.</w:t>
      </w:r>
    </w:p>
  </w:footnote>
  <w:footnote w:id="262">
    <w:p w14:paraId="3D544A9C"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(1) القانون المدني الجزائري لسنة 1975.</w:t>
      </w:r>
    </w:p>
  </w:footnote>
  <w:footnote w:id="263">
    <w:p w14:paraId="65BF07F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انظر في ذلك: محمد حسنين، </w:t>
      </w:r>
      <w:r w:rsidRPr="001B5175">
        <w:rPr>
          <w:rFonts w:ascii="Lotus Linotype" w:hAnsi="Lotus Linotype" w:cs="Lotus Linotype"/>
          <w:b/>
          <w:bCs/>
          <w:i/>
          <w:iCs/>
          <w:sz w:val="24"/>
          <w:szCs w:val="24"/>
          <w:rtl/>
        </w:rPr>
        <w:t>الوجيز في نظرية الالتزام، المؤسسة الوطنية للفنون المطبعية</w:t>
      </w:r>
      <w:r w:rsidRPr="001B5175">
        <w:rPr>
          <w:rFonts w:ascii="Lotus Linotype" w:hAnsi="Lotus Linotype" w:cs="Lotus Linotype"/>
          <w:sz w:val="24"/>
          <w:szCs w:val="24"/>
          <w:rtl/>
        </w:rPr>
        <w:t xml:space="preserve">، الجزائر، 1983، ص67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73.</w:t>
      </w:r>
    </w:p>
  </w:footnote>
  <w:footnote w:id="264">
    <w:p w14:paraId="6CA202B2"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حليمة آيت حمودي، المرجع السابق، ص124.</w:t>
      </w:r>
    </w:p>
  </w:footnote>
  <w:footnote w:id="265">
    <w:p w14:paraId="1E4E50B1"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سعد الحلبوسي، المرجع السابق، ص</w:t>
      </w:r>
    </w:p>
  </w:footnote>
  <w:footnote w:id="266">
    <w:p w14:paraId="3D7A4AAD"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القانون المدني الليبي الصادر سنة 1952.</w:t>
      </w:r>
    </w:p>
  </w:footnote>
  <w:footnote w:id="267">
    <w:p w14:paraId="178FA76A" w14:textId="77777777" w:rsidR="008C0FB5" w:rsidRPr="001B5175" w:rsidRDefault="008C0FB5" w:rsidP="00921573">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انظر في ذلك: سعيد يحيى ومحمد المظفر، المرجع السابق، ص255.</w:t>
      </w:r>
    </w:p>
  </w:footnote>
  <w:footnote w:id="268">
    <w:p w14:paraId="7D165BCE"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(3) </w:t>
      </w:r>
      <w:r w:rsidRPr="001B5175">
        <w:rPr>
          <w:rFonts w:ascii="Lotus Linotype" w:hAnsi="Lotus Linotype" w:cs="Lotus Linotype"/>
          <w:sz w:val="24"/>
          <w:szCs w:val="24"/>
          <w:rtl/>
        </w:rPr>
        <w:t>القانون المدني الكويتي الصادر سنة 1980.</w:t>
      </w:r>
    </w:p>
  </w:footnote>
  <w:footnote w:id="269">
    <w:p w14:paraId="5DCCE6EB"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قانون الالتزامات والعقود المغربي لسنة 1913.</w:t>
      </w:r>
    </w:p>
  </w:footnote>
  <w:footnote w:id="270">
    <w:p w14:paraId="18C3B398" w14:textId="77777777" w:rsidR="008C0FB5" w:rsidRPr="001B5175" w:rsidRDefault="008C0FB5" w:rsidP="00921573">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مأمون الكزبري، المرجع السابق، ص201 وما بعدها.</w:t>
      </w:r>
    </w:p>
  </w:footnote>
  <w:footnote w:id="271">
    <w:p w14:paraId="26CD891D"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w:t>
      </w:r>
      <w:r w:rsidRPr="001B5175">
        <w:rPr>
          <w:rFonts w:ascii="Lotus Linotype" w:hAnsi="Lotus Linotype" w:cs="Lotus Linotype"/>
          <w:sz w:val="24"/>
          <w:szCs w:val="24"/>
          <w:rtl/>
        </w:rPr>
        <w:t xml:space="preserve">السنهوري، </w:t>
      </w:r>
      <w:r w:rsidRPr="001B5175">
        <w:rPr>
          <w:rFonts w:ascii="Lotus Linotype" w:hAnsi="Lotus Linotype" w:cs="Lotus Linotype"/>
          <w:b/>
          <w:bCs/>
          <w:i/>
          <w:iCs/>
          <w:sz w:val="24"/>
          <w:szCs w:val="24"/>
          <w:rtl/>
        </w:rPr>
        <w:t>الوسيط</w:t>
      </w:r>
      <w:r w:rsidRPr="001B5175">
        <w:rPr>
          <w:rFonts w:ascii="Lotus Linotype" w:hAnsi="Lotus Linotype" w:cs="Lotus Linotype"/>
          <w:sz w:val="24"/>
          <w:szCs w:val="24"/>
          <w:rtl/>
        </w:rPr>
        <w:t xml:space="preserve">، ج1، ص514، أنور سلطان، </w:t>
      </w:r>
      <w:r w:rsidRPr="001B5175">
        <w:rPr>
          <w:rFonts w:ascii="Lotus Linotype" w:hAnsi="Lotus Linotype" w:cs="Lotus Linotype"/>
          <w:b/>
          <w:bCs/>
          <w:i/>
          <w:iCs/>
          <w:sz w:val="24"/>
          <w:szCs w:val="24"/>
          <w:rtl/>
        </w:rPr>
        <w:t>مصادر الالتزام في القانون المدني الأردني</w:t>
      </w:r>
      <w:r w:rsidRPr="001B5175">
        <w:rPr>
          <w:rFonts w:ascii="Lotus Linotype" w:hAnsi="Lotus Linotype" w:cs="Lotus Linotype"/>
          <w:sz w:val="24"/>
          <w:szCs w:val="24"/>
          <w:rtl/>
        </w:rPr>
        <w:t>، المرجع السابق، ص115.</w:t>
      </w:r>
    </w:p>
  </w:footnote>
  <w:footnote w:id="272">
    <w:p w14:paraId="3611EE8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المذكرة الإيضاحية للقانون المدني المصري</w:t>
      </w:r>
      <w:r w:rsidRPr="001B5175">
        <w:rPr>
          <w:rFonts w:ascii="Lotus Linotype" w:hAnsi="Lotus Linotype" w:cs="Lotus Linotype"/>
          <w:sz w:val="24"/>
          <w:szCs w:val="24"/>
          <w:rtl/>
        </w:rPr>
        <w:t>، ج1، ص227.</w:t>
      </w:r>
    </w:p>
  </w:footnote>
  <w:footnote w:id="273">
    <w:p w14:paraId="68F8BECE"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عبد الناصر العطار، </w:t>
      </w:r>
      <w:r w:rsidRPr="001B5175">
        <w:rPr>
          <w:rFonts w:ascii="Lotus Linotype" w:hAnsi="Lotus Linotype" w:cs="Lotus Linotype"/>
          <w:b/>
          <w:bCs/>
          <w:i/>
          <w:iCs/>
          <w:sz w:val="24"/>
          <w:szCs w:val="24"/>
          <w:rtl/>
        </w:rPr>
        <w:t>نظرية الالتزام</w:t>
      </w:r>
      <w:r w:rsidRPr="001B5175">
        <w:rPr>
          <w:rFonts w:ascii="Lotus Linotype" w:hAnsi="Lotus Linotype" w:cs="Lotus Linotype"/>
          <w:sz w:val="24"/>
          <w:szCs w:val="24"/>
          <w:rtl/>
        </w:rPr>
        <w:t xml:space="preserve">، الكتاب الأول، بدون مكان وسنة طبع، ص135، سليمان مرقس، </w:t>
      </w:r>
      <w:r w:rsidRPr="001B5175">
        <w:rPr>
          <w:rFonts w:ascii="Lotus Linotype" w:hAnsi="Lotus Linotype" w:cs="Lotus Linotype"/>
          <w:b/>
          <w:bCs/>
          <w:i/>
          <w:iCs/>
          <w:sz w:val="24"/>
          <w:szCs w:val="24"/>
          <w:rtl/>
        </w:rPr>
        <w:t>الوافي</w:t>
      </w:r>
      <w:r w:rsidRPr="001B5175">
        <w:rPr>
          <w:rFonts w:ascii="Lotus Linotype" w:hAnsi="Lotus Linotype" w:cs="Lotus Linotype"/>
          <w:sz w:val="24"/>
          <w:szCs w:val="24"/>
          <w:rtl/>
        </w:rPr>
        <w:t>، المرجع السابق، ص300، أحمد حشمت أبو ستيت، المرجع السابق، ص232.</w:t>
      </w:r>
    </w:p>
  </w:footnote>
  <w:footnote w:id="274">
    <w:p w14:paraId="29BCD827"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(4) عبد الناصر العطار، المرجع السابق، ص125.</w:t>
      </w:r>
    </w:p>
  </w:footnote>
  <w:footnote w:id="275">
    <w:p w14:paraId="4CBD188C"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(5) </w:t>
      </w:r>
      <w:r w:rsidRPr="001B5175">
        <w:rPr>
          <w:rFonts w:ascii="Lotus Linotype" w:hAnsi="Lotus Linotype" w:cs="Lotus Linotype"/>
          <w:sz w:val="24"/>
          <w:szCs w:val="24"/>
          <w:rtl/>
        </w:rPr>
        <w:t>القانون المدني المصري رقم 31 لسنة 1948.</w:t>
      </w:r>
    </w:p>
  </w:footnote>
  <w:footnote w:id="276">
    <w:p w14:paraId="0D639E89"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القانون المدني السوري الصادر 1949، انظر في تفسير هذه المادة من القانون السوري ماجد الحلواني، </w:t>
      </w:r>
      <w:r w:rsidRPr="001B5175">
        <w:rPr>
          <w:rFonts w:ascii="Lotus Linotype" w:hAnsi="Lotus Linotype" w:cs="Lotus Linotype"/>
          <w:b/>
          <w:bCs/>
          <w:i/>
          <w:iCs/>
          <w:sz w:val="24"/>
          <w:szCs w:val="24"/>
          <w:rtl/>
        </w:rPr>
        <w:t>نظرية الالتزام</w:t>
      </w:r>
      <w:r w:rsidRPr="001B5175">
        <w:rPr>
          <w:rFonts w:ascii="Lotus Linotype" w:hAnsi="Lotus Linotype" w:cs="Lotus Linotype"/>
          <w:sz w:val="24"/>
          <w:szCs w:val="24"/>
          <w:rtl/>
        </w:rPr>
        <w:t xml:space="preserve">، ج1، </w:t>
      </w:r>
      <w:r w:rsidRPr="001B5175">
        <w:rPr>
          <w:rFonts w:ascii="Lotus Linotype" w:hAnsi="Lotus Linotype" w:cs="Lotus Linotype"/>
          <w:b/>
          <w:bCs/>
          <w:i/>
          <w:iCs/>
          <w:sz w:val="24"/>
          <w:szCs w:val="24"/>
          <w:rtl/>
        </w:rPr>
        <w:t>مصادر الالتزام</w:t>
      </w:r>
      <w:r w:rsidRPr="001B5175">
        <w:rPr>
          <w:rFonts w:ascii="Lotus Linotype" w:hAnsi="Lotus Linotype" w:cs="Lotus Linotype"/>
          <w:sz w:val="24"/>
          <w:szCs w:val="24"/>
          <w:rtl/>
        </w:rPr>
        <w:t xml:space="preserve">، مطبعة جامعة دمشق، 1961، ص122، مصطفى الزرقا، </w:t>
      </w:r>
      <w:r w:rsidRPr="001B5175">
        <w:rPr>
          <w:rFonts w:ascii="Lotus Linotype" w:hAnsi="Lotus Linotype" w:cs="Lotus Linotype"/>
          <w:b/>
          <w:bCs/>
          <w:i/>
          <w:iCs/>
          <w:sz w:val="24"/>
          <w:szCs w:val="24"/>
          <w:rtl/>
        </w:rPr>
        <w:t>نظرية الالتزام في القانون المدني السوري</w:t>
      </w:r>
      <w:r w:rsidRPr="001B5175">
        <w:rPr>
          <w:rFonts w:ascii="Lotus Linotype" w:hAnsi="Lotus Linotype" w:cs="Lotus Linotype"/>
          <w:sz w:val="24"/>
          <w:szCs w:val="24"/>
          <w:rtl/>
        </w:rPr>
        <w:t>، مطبعة جامعة دمشق، 1954، ص168.</w:t>
      </w:r>
    </w:p>
  </w:footnote>
  <w:footnote w:id="277">
    <w:p w14:paraId="41C5A1EB"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وقد نقل هذه المادة التقنين المدني السوداني لسنة 1971 في المادة 122 منه.</w:t>
      </w:r>
    </w:p>
  </w:footnote>
  <w:footnote w:id="278">
    <w:p w14:paraId="55E19E65" w14:textId="77777777" w:rsidR="008C0FB5" w:rsidRPr="001B5175" w:rsidRDefault="008C0FB5" w:rsidP="00921573">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القانون المدني العراقي رقم 40 لسنة 1951، وانظر في تفصيل المواد الخاصة بالسبب: غني حسون طه، </w:t>
      </w:r>
      <w:r w:rsidRPr="001B5175">
        <w:rPr>
          <w:rFonts w:ascii="Lotus Linotype" w:hAnsi="Lotus Linotype" w:cs="Lotus Linotype"/>
          <w:b/>
          <w:bCs/>
          <w:i/>
          <w:iCs/>
          <w:sz w:val="24"/>
          <w:szCs w:val="24"/>
          <w:rtl/>
        </w:rPr>
        <w:t>الوجيز في النظرية</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العامة للالتزام</w:t>
      </w:r>
      <w:r w:rsidRPr="001B5175">
        <w:rPr>
          <w:rFonts w:ascii="Lotus Linotype" w:hAnsi="Lotus Linotype" w:cs="Lotus Linotype"/>
          <w:sz w:val="24"/>
          <w:szCs w:val="24"/>
          <w:rtl/>
        </w:rPr>
        <w:t>، الكتاب الأول، مصادر الالتزام، مطبعة المعارف، بغداد، 1971، ص265.</w:t>
      </w:r>
    </w:p>
  </w:footnote>
  <w:footnote w:id="279">
    <w:p w14:paraId="4B86635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المذكرة الإيضاحية للقانون المدني المصري، ج1، ص227.</w:t>
      </w:r>
    </w:p>
  </w:footnote>
  <w:footnote w:id="280">
    <w:p w14:paraId="7D9E6BA7"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(2) استئناف مصر الوطنية في 13 يونيو 1909، المجموعة الرسمية، 11/6/1953، محكمة الإسكندرية التجارية المختلطة في 8 يونيو 1916، جازيت، 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1976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536، ذكره: عبد المنعم الصدة، المرجع السابق، ص365.</w:t>
      </w:r>
    </w:p>
  </w:footnote>
  <w:footnote w:id="281">
    <w:p w14:paraId="4194DE7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w:t>
      </w:r>
      <w:r w:rsidRPr="001B5175">
        <w:rPr>
          <w:rFonts w:ascii="Lotus Linotype" w:hAnsi="Lotus Linotype" w:cs="Lotus Linotype"/>
          <w:sz w:val="24"/>
          <w:szCs w:val="24"/>
          <w:rtl/>
        </w:rPr>
        <w:t xml:space="preserve">استئناف مختلط في 25 مايو 1929، </w:t>
      </w:r>
      <w:r w:rsidRPr="001B5175">
        <w:rPr>
          <w:rFonts w:ascii="Lotus Linotype" w:hAnsi="Lotus Linotype" w:cs="Lotus Linotype"/>
          <w:b/>
          <w:bCs/>
          <w:i/>
          <w:iCs/>
          <w:sz w:val="24"/>
          <w:szCs w:val="24"/>
          <w:rtl/>
        </w:rPr>
        <w:t>مجموعة التشريع والقضاء المختلط</w:t>
      </w:r>
      <w:r w:rsidRPr="001B5175">
        <w:rPr>
          <w:rFonts w:ascii="Lotus Linotype" w:hAnsi="Lotus Linotype" w:cs="Lotus Linotype"/>
          <w:sz w:val="24"/>
          <w:szCs w:val="24"/>
          <w:rtl/>
        </w:rPr>
        <w:t>، ص394.</w:t>
      </w:r>
    </w:p>
  </w:footnote>
  <w:footnote w:id="282">
    <w:p w14:paraId="0726DA7E"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(4) استئناف مختلط في 16 مارس 1923، </w:t>
      </w:r>
      <w:r w:rsidRPr="001B5175">
        <w:rPr>
          <w:rFonts w:ascii="Lotus Linotype" w:hAnsi="Lotus Linotype" w:cs="Lotus Linotype"/>
          <w:b/>
          <w:bCs/>
          <w:i/>
          <w:iCs/>
          <w:sz w:val="24"/>
          <w:szCs w:val="24"/>
          <w:rtl/>
        </w:rPr>
        <w:t>مجموعة التشريع والقضاء المختلط</w:t>
      </w:r>
      <w:r w:rsidRPr="001B5175">
        <w:rPr>
          <w:rFonts w:ascii="Lotus Linotype" w:hAnsi="Lotus Linotype" w:cs="Lotus Linotype"/>
          <w:sz w:val="24"/>
          <w:szCs w:val="24"/>
          <w:rtl/>
        </w:rPr>
        <w:t>، ص203.</w:t>
      </w:r>
    </w:p>
  </w:footnote>
  <w:footnote w:id="283">
    <w:p w14:paraId="7898B8C9"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القرار رقم 654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حقوقية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967 بتاريخ 4/12/1967، منشور في مجلة القضاء، ع1، ص3، نقابة المحامين، مطبعة العاني، بغداد، 1968، ص66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71.</w:t>
      </w:r>
    </w:p>
  </w:footnote>
  <w:footnote w:id="284">
    <w:p w14:paraId="15F5ECE2"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سعيد يحيى ومحمد مظفر، المرجع السابق، ص255.</w:t>
      </w:r>
    </w:p>
  </w:footnote>
  <w:footnote w:id="285">
    <w:p w14:paraId="168D694E"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(3) قانون الموجبات والعقود اللبناني المنشور في 11/4/1932.</w:t>
      </w:r>
    </w:p>
  </w:footnote>
  <w:footnote w:id="286">
    <w:p w14:paraId="4A0D8896"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محمد حسنين، المرجع السابق، ص72، عبد المنعم البدراوي، المرجع السابق، ص339.</w:t>
      </w:r>
    </w:p>
  </w:footnote>
  <w:footnote w:id="287">
    <w:p w14:paraId="043DC5A0"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(2) محكمة الاستئناف الأولى، قرار إعدادي رقم 307 في 31 أيار سنة 1949، </w:t>
      </w:r>
      <w:r w:rsidRPr="001B5175">
        <w:rPr>
          <w:rFonts w:ascii="Lotus Linotype" w:hAnsi="Lotus Linotype" w:cs="Lotus Linotype"/>
          <w:b/>
          <w:bCs/>
          <w:i/>
          <w:iCs/>
          <w:sz w:val="24"/>
          <w:szCs w:val="24"/>
          <w:rtl/>
        </w:rPr>
        <w:t>مجموعة حاتم</w:t>
      </w:r>
      <w:r w:rsidRPr="001B5175">
        <w:rPr>
          <w:rFonts w:ascii="Lotus Linotype" w:hAnsi="Lotus Linotype" w:cs="Lotus Linotype"/>
          <w:sz w:val="24"/>
          <w:szCs w:val="24"/>
          <w:rtl/>
        </w:rPr>
        <w:t>، ج2، ص29.</w:t>
      </w:r>
    </w:p>
  </w:footnote>
  <w:footnote w:id="288">
    <w:p w14:paraId="50D34A83"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(3) استئناف بيروت، المدنية الأولى، القرار رقم 3883 في 24/11/1960، </w:t>
      </w:r>
      <w:r w:rsidRPr="001B5175">
        <w:rPr>
          <w:rFonts w:ascii="Lotus Linotype" w:hAnsi="Lotus Linotype" w:cs="Lotus Linotype"/>
          <w:b/>
          <w:bCs/>
          <w:i/>
          <w:iCs/>
          <w:sz w:val="24"/>
          <w:szCs w:val="24"/>
          <w:rtl/>
        </w:rPr>
        <w:t>مجموعة حاتم</w:t>
      </w:r>
      <w:r w:rsidRPr="001B5175">
        <w:rPr>
          <w:rFonts w:ascii="Lotus Linotype" w:hAnsi="Lotus Linotype" w:cs="Lotus Linotype"/>
          <w:sz w:val="24"/>
          <w:szCs w:val="24"/>
          <w:rtl/>
        </w:rPr>
        <w:t>، ج2، ص51.</w:t>
      </w:r>
    </w:p>
  </w:footnote>
  <w:footnote w:id="289">
    <w:p w14:paraId="54DE770E" w14:textId="77777777" w:rsidR="008C0FB5" w:rsidRPr="001B5175" w:rsidRDefault="008C0FB5" w:rsidP="008C0FB5">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4</w:t>
      </w:r>
      <w:r w:rsidRPr="001B5175">
        <w:rPr>
          <w:rFonts w:ascii="Lotus Linotype" w:hAnsi="Lotus Linotype" w:cs="Lotus Linotype"/>
          <w:sz w:val="24"/>
          <w:szCs w:val="24"/>
          <w:rtl/>
        </w:rPr>
        <w:t>) القانون المدني الأردني رقم 43 لسنة 1976.</w:t>
      </w:r>
    </w:p>
  </w:footnote>
  <w:footnote w:id="290">
    <w:p w14:paraId="758A2A66" w14:textId="77777777" w:rsidR="008C0FB5" w:rsidRPr="001B5175" w:rsidRDefault="008C0FB5" w:rsidP="008C0FB5">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5</w:t>
      </w:r>
      <w:r w:rsidRPr="001B5175">
        <w:rPr>
          <w:rFonts w:ascii="Lotus Linotype" w:hAnsi="Lotus Linotype" w:cs="Lotus Linotype"/>
          <w:sz w:val="24"/>
          <w:szCs w:val="24"/>
          <w:rtl/>
        </w:rPr>
        <w:t xml:space="preserve">) انظر في القانون المدني الأردني، عبد القار الفار، </w:t>
      </w:r>
      <w:r w:rsidRPr="001B5175">
        <w:rPr>
          <w:rFonts w:ascii="Lotus Linotype" w:hAnsi="Lotus Linotype" w:cs="Lotus Linotype"/>
          <w:b/>
          <w:bCs/>
          <w:i/>
          <w:iCs/>
          <w:sz w:val="24"/>
          <w:szCs w:val="24"/>
          <w:rtl/>
        </w:rPr>
        <w:t>مصادر الالتزام، الدار العلمية الدولية</w:t>
      </w:r>
      <w:r w:rsidRPr="001B5175">
        <w:rPr>
          <w:rFonts w:ascii="Lotus Linotype" w:hAnsi="Lotus Linotype" w:cs="Lotus Linotype"/>
          <w:sz w:val="24"/>
          <w:szCs w:val="24"/>
          <w:rtl/>
        </w:rPr>
        <w:t>، دار الثقافة والنشر والتوزيع، الأردن، 1998، ص90 وما بعدها، أمجد محمد منصور، المرجع السابق، ص134 وما بعدها.</w:t>
      </w:r>
    </w:p>
  </w:footnote>
  <w:footnote w:id="291">
    <w:p w14:paraId="508994D9" w14:textId="77777777" w:rsidR="008C0FB5" w:rsidRPr="001B5175" w:rsidRDefault="008C0FB5" w:rsidP="008C0FB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xml:space="preserve">) مجيد حميد العنبكي، </w:t>
      </w:r>
      <w:r w:rsidRPr="001B5175">
        <w:rPr>
          <w:rFonts w:ascii="Lotus Linotype" w:hAnsi="Lotus Linotype" w:cs="Lotus Linotype"/>
          <w:b/>
          <w:bCs/>
          <w:i/>
          <w:iCs/>
          <w:sz w:val="24"/>
          <w:szCs w:val="24"/>
          <w:rtl/>
        </w:rPr>
        <w:t>أثر المصلحة في التشريعات</w:t>
      </w:r>
      <w:r w:rsidRPr="001B5175">
        <w:rPr>
          <w:rFonts w:ascii="Lotus Linotype" w:hAnsi="Lotus Linotype" w:cs="Lotus Linotype"/>
          <w:sz w:val="24"/>
          <w:szCs w:val="24"/>
          <w:rtl/>
        </w:rPr>
        <w:t>، الكتاب الأول، في التشريع الإسلامي، بغداد، 2001، ص4 وما بعدها.</w:t>
      </w:r>
    </w:p>
  </w:footnote>
  <w:footnote w:id="292">
    <w:p w14:paraId="4920242B" w14:textId="77777777" w:rsidR="008C0FB5" w:rsidRPr="001B5175" w:rsidRDefault="008C0FB5" w:rsidP="008C0FB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طلبة وهبة خطاب، </w:t>
      </w:r>
      <w:r w:rsidRPr="001B5175">
        <w:rPr>
          <w:rFonts w:ascii="Lotus Linotype" w:hAnsi="Lotus Linotype" w:cs="Lotus Linotype"/>
          <w:b/>
          <w:bCs/>
          <w:i/>
          <w:iCs/>
          <w:sz w:val="24"/>
          <w:szCs w:val="24"/>
          <w:rtl/>
        </w:rPr>
        <w:t>مقابل الالتزام بالوعد في القانون الانكلوأمريكي</w:t>
      </w:r>
      <w:r w:rsidRPr="001B5175">
        <w:rPr>
          <w:rFonts w:ascii="Lotus Linotype" w:hAnsi="Lotus Linotype" w:cs="Lotus Linotype"/>
          <w:sz w:val="24"/>
          <w:szCs w:val="24"/>
          <w:rtl/>
        </w:rPr>
        <w:t xml:space="preserve">، دار الفكر العربي، 1979، ص11. </w:t>
      </w:r>
    </w:p>
  </w:footnote>
  <w:footnote w:id="293">
    <w:p w14:paraId="71186F91"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(1) ج. س. س. هـ. فيفوت</w:t>
      </w:r>
      <w:r w:rsidRPr="001B5175">
        <w:rPr>
          <w:rFonts w:ascii="Lotus Linotype" w:hAnsi="Lotus Linotype" w:cs="Lotus Linotype"/>
          <w:sz w:val="24"/>
          <w:szCs w:val="24"/>
          <w:rtl/>
        </w:rPr>
        <w:t xml:space="preserve">، م. ب. فيرمستون، </w:t>
      </w:r>
      <w:r w:rsidRPr="001B5175">
        <w:rPr>
          <w:rFonts w:ascii="Lotus Linotype" w:hAnsi="Lotus Linotype" w:cs="Lotus Linotype"/>
          <w:b/>
          <w:bCs/>
          <w:i/>
          <w:iCs/>
          <w:sz w:val="24"/>
          <w:szCs w:val="24"/>
          <w:rtl/>
        </w:rPr>
        <w:t>السبب ونية التعاقد</w:t>
      </w:r>
      <w:r w:rsidRPr="001B5175">
        <w:rPr>
          <w:rFonts w:ascii="Lotus Linotype" w:hAnsi="Lotus Linotype" w:cs="Lotus Linotype"/>
          <w:sz w:val="24"/>
          <w:szCs w:val="24"/>
          <w:rtl/>
        </w:rPr>
        <w:t>، ترجمة: هنري رياض، دار الجيل للطباعة، بيروت، ص14.</w:t>
      </w:r>
    </w:p>
  </w:footnote>
  <w:footnote w:id="294">
    <w:p w14:paraId="517D07BC" w14:textId="77777777" w:rsidR="008C0FB5" w:rsidRPr="001B5175" w:rsidRDefault="008C0FB5" w:rsidP="008C0FB5">
      <w:pPr>
        <w:pStyle w:val="af"/>
        <w:bidi w:val="0"/>
        <w:ind w:left="0" w:firstLine="0"/>
        <w:rPr>
          <w:rFonts w:ascii="Times New Roman" w:hAnsi="Times New Roman" w:cs="Times New Roman"/>
          <w:sz w:val="24"/>
          <w:szCs w:val="24"/>
          <w:rtl/>
        </w:rPr>
      </w:pPr>
      <w:r w:rsidRPr="001B5175">
        <w:rPr>
          <w:rFonts w:ascii="Times New Roman" w:hAnsi="Times New Roman" w:cs="Times New Roman"/>
          <w:sz w:val="24"/>
          <w:szCs w:val="24"/>
        </w:rPr>
        <w:t>(</w:t>
      </w:r>
      <w:r>
        <w:rPr>
          <w:rFonts w:ascii="Times New Roman" w:hAnsi="Times New Roman" w:cs="Times New Roman"/>
          <w:sz w:val="24"/>
          <w:szCs w:val="24"/>
        </w:rPr>
        <w:t>2</w:t>
      </w:r>
      <w:r w:rsidRPr="001B5175">
        <w:rPr>
          <w:rFonts w:ascii="Times New Roman" w:hAnsi="Times New Roman" w:cs="Times New Roman"/>
          <w:sz w:val="24"/>
          <w:szCs w:val="24"/>
        </w:rPr>
        <w:t>)Samuel Williston</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Consideration in bilateral contracts</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in 27 Harvard Law review</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519.</w:t>
      </w:r>
    </w:p>
  </w:footnote>
  <w:footnote w:id="295">
    <w:p w14:paraId="449E8D17" w14:textId="77777777" w:rsidR="008C0FB5" w:rsidRPr="001B5175" w:rsidRDefault="008C0FB5" w:rsidP="0099696D">
      <w:pPr>
        <w:pStyle w:val="af"/>
        <w:bidi w:val="0"/>
        <w:ind w:left="0" w:firstLine="0"/>
        <w:rPr>
          <w:rFonts w:ascii="Times New Roman" w:hAnsi="Times New Roman" w:cs="Times New Roman"/>
          <w:sz w:val="24"/>
          <w:szCs w:val="24"/>
        </w:rPr>
      </w:pPr>
      <w:r w:rsidRPr="001B5175">
        <w:rPr>
          <w:rFonts w:ascii="Times New Roman" w:hAnsi="Times New Roman" w:cs="Saihat"/>
          <w:sz w:val="24"/>
          <w:szCs w:val="24"/>
        </w:rPr>
        <w:t>(</w:t>
      </w:r>
      <w:r w:rsidRPr="001B5175">
        <w:rPr>
          <w:rFonts w:ascii="Times New Roman" w:hAnsi="Times New Roman" w:cs="Saihat"/>
          <w:sz w:val="24"/>
          <w:szCs w:val="24"/>
        </w:rPr>
        <w:footnoteRef/>
      </w:r>
      <w:r w:rsidRPr="001B5175">
        <w:rPr>
          <w:rFonts w:ascii="Times New Roman" w:hAnsi="Times New Roman" w:cs="Saihat"/>
          <w:sz w:val="24"/>
          <w:szCs w:val="24"/>
        </w:rPr>
        <w: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Sir Pollock's</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Principles of contract – thirteen – edition</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London</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1950</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33.</w:t>
      </w:r>
    </w:p>
  </w:footnote>
  <w:footnote w:id="296">
    <w:p w14:paraId="11978460"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(4) عبد المجيد الحكيم، </w:t>
      </w:r>
      <w:r w:rsidRPr="001B5175">
        <w:rPr>
          <w:rFonts w:ascii="Lotus Linotype" w:hAnsi="Lotus Linotype" w:cs="Lotus Linotype"/>
          <w:b/>
          <w:bCs/>
          <w:i/>
          <w:iCs/>
          <w:sz w:val="24"/>
          <w:szCs w:val="24"/>
          <w:rtl/>
        </w:rPr>
        <w:t>الاعتبار كركن في العقد في القانون الانكلوأمريكي</w:t>
      </w:r>
      <w:r w:rsidRPr="001B5175">
        <w:rPr>
          <w:rFonts w:ascii="Lotus Linotype" w:hAnsi="Lotus Linotype" w:cs="Lotus Linotype"/>
          <w:sz w:val="24"/>
          <w:szCs w:val="24"/>
          <w:rtl/>
        </w:rPr>
        <w:t>، بغداد، 1991، ص191.</w:t>
      </w:r>
    </w:p>
  </w:footnote>
  <w:footnote w:id="297">
    <w:p w14:paraId="7CBE0241" w14:textId="77777777" w:rsidR="008C0FB5" w:rsidRPr="001B5175" w:rsidRDefault="008C0FB5" w:rsidP="008C0FB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 </w:t>
      </w:r>
      <w:r w:rsidRPr="001B5175">
        <w:rPr>
          <w:rFonts w:ascii="Lotus Linotype" w:hAnsi="Lotus Linotype" w:cs="Lotus Linotype"/>
          <w:sz w:val="24"/>
          <w:szCs w:val="24"/>
          <w:rtl/>
        </w:rPr>
        <w:t>(</w:t>
      </w:r>
      <w:r>
        <w:rPr>
          <w:rFonts w:ascii="Lotus Linotype" w:hAnsi="Lotus Linotype" w:cs="Lotus Linotype" w:hint="cs"/>
          <w:sz w:val="24"/>
          <w:szCs w:val="24"/>
          <w:rtl/>
        </w:rPr>
        <w:t>1</w:t>
      </w:r>
      <w:r w:rsidRPr="001B5175">
        <w:rPr>
          <w:rFonts w:ascii="Lotus Linotype" w:hAnsi="Lotus Linotype" w:cs="Lotus Linotype"/>
          <w:sz w:val="24"/>
          <w:szCs w:val="24"/>
          <w:rtl/>
        </w:rPr>
        <w:t>) شيشر (مشارك)، المرجع السابق، ص14.</w:t>
      </w:r>
    </w:p>
  </w:footnote>
  <w:footnote w:id="298">
    <w:p w14:paraId="20697E56" w14:textId="77777777" w:rsidR="008C0FB5" w:rsidRPr="001B5175" w:rsidRDefault="008C0FB5" w:rsidP="0099696D">
      <w:pPr>
        <w:pStyle w:val="af"/>
        <w:bidi w:val="0"/>
        <w:ind w:left="0" w:firstLine="0"/>
        <w:rPr>
          <w:rFonts w:ascii="Times New Roman" w:hAnsi="Times New Roman" w:cs="Times New Roman"/>
          <w:sz w:val="24"/>
          <w:szCs w:val="24"/>
          <w:rtl/>
        </w:rPr>
      </w:pPr>
      <w:r w:rsidRPr="001B5175">
        <w:rPr>
          <w:rFonts w:ascii="Times New Roman" w:hAnsi="Times New Roman" w:cs="Times New Roman"/>
          <w:sz w:val="24"/>
          <w:szCs w:val="24"/>
        </w:rPr>
        <w:t>(</w:t>
      </w:r>
      <w:r w:rsidRPr="001B5175">
        <w:rPr>
          <w:rFonts w:ascii="Times New Roman" w:hAnsi="Times New Roman" w:cs="Times New Roman"/>
          <w:sz w:val="24"/>
          <w:szCs w:val="24"/>
        </w:rPr>
        <w:footnoteRef/>
      </w:r>
      <w:r w:rsidRPr="001B5175">
        <w:rPr>
          <w:rFonts w:ascii="Times New Roman" w:hAnsi="Times New Roman" w:cs="Times New Roman"/>
          <w:sz w:val="24"/>
          <w:szCs w:val="24"/>
          <w:rtl/>
        </w:rPr>
        <w:t>(</w:t>
      </w:r>
      <w:r w:rsidRPr="001B5175">
        <w:rPr>
          <w:rFonts w:ascii="Times New Roman" w:hAnsi="Times New Roman" w:cs="Times New Roman"/>
          <w:sz w:val="24"/>
          <w:szCs w:val="24"/>
        </w:rPr>
        <w:t>Sir Pollock's</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Op. Cit.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35.</w:t>
      </w:r>
    </w:p>
  </w:footnote>
  <w:footnote w:id="299">
    <w:p w14:paraId="0A207380"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(2) عبد المجيد الحكيم، </w:t>
      </w:r>
      <w:r w:rsidRPr="001B5175">
        <w:rPr>
          <w:rFonts w:ascii="Lotus Linotype" w:hAnsi="Lotus Linotype" w:cs="Lotus Linotype"/>
          <w:b/>
          <w:bCs/>
          <w:i/>
          <w:iCs/>
          <w:sz w:val="24"/>
          <w:szCs w:val="24"/>
          <w:rtl/>
        </w:rPr>
        <w:t>الاعتبار كركن في العقد</w:t>
      </w:r>
      <w:r w:rsidRPr="001B5175">
        <w:rPr>
          <w:rFonts w:ascii="Lotus Linotype" w:hAnsi="Lotus Linotype" w:cs="Lotus Linotype"/>
          <w:sz w:val="24"/>
          <w:szCs w:val="24"/>
          <w:rtl/>
        </w:rPr>
        <w:t>، المرجع السابق، ص195.</w:t>
      </w:r>
    </w:p>
  </w:footnote>
  <w:footnote w:id="300">
    <w:p w14:paraId="19FBA934"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(3) عبد المجيد الحكيم، المرجع السابق، ص332.</w:t>
      </w:r>
    </w:p>
  </w:footnote>
  <w:footnote w:id="301">
    <w:p w14:paraId="6696F01A"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(4) عبد المجيد الحكيم، المرجع السابق، ص332.</w:t>
      </w:r>
    </w:p>
  </w:footnote>
  <w:footnote w:id="302">
    <w:p w14:paraId="478608D6"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طلبة وهبة خطاب، المرجع السابق، ص59.</w:t>
      </w:r>
    </w:p>
  </w:footnote>
  <w:footnote w:id="303">
    <w:p w14:paraId="7C0DC91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(2) شيشر (مشارك)، المرجع السابق، ص17.</w:t>
      </w:r>
    </w:p>
  </w:footnote>
  <w:footnote w:id="304">
    <w:p w14:paraId="37E85EE8" w14:textId="77777777" w:rsidR="008C0FB5" w:rsidRPr="001B5175" w:rsidRDefault="008C0FB5" w:rsidP="00C35031">
      <w:pPr>
        <w:pStyle w:val="af"/>
        <w:bidi w:val="0"/>
        <w:ind w:left="0" w:firstLine="0"/>
        <w:rPr>
          <w:rFonts w:ascii="Times New Roman" w:hAnsi="Times New Roman" w:cs="Times New Roman"/>
          <w:sz w:val="24"/>
          <w:szCs w:val="24"/>
          <w:rtl/>
        </w:rPr>
      </w:pPr>
      <w:r w:rsidRPr="001B5175">
        <w:rPr>
          <w:rFonts w:ascii="Times New Roman" w:hAnsi="Times New Roman" w:cs="Saihat"/>
          <w:sz w:val="24"/>
          <w:szCs w:val="24"/>
        </w:rPr>
        <w:t>(</w:t>
      </w:r>
      <w:r w:rsidRPr="001B5175">
        <w:rPr>
          <w:rFonts w:ascii="Times New Roman" w:hAnsi="Times New Roman" w:cs="Saihat"/>
          <w:sz w:val="24"/>
          <w:szCs w:val="24"/>
        </w:rPr>
        <w:footnoteRef/>
      </w:r>
      <w:r w:rsidRPr="001B5175">
        <w:rPr>
          <w:rFonts w:ascii="Times New Roman" w:hAnsi="Times New Roman" w:cs="Saihat"/>
          <w:sz w:val="24"/>
          <w:szCs w:val="24"/>
        </w:rPr>
        <w:t>)</w:t>
      </w:r>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Ason's</w:t>
      </w:r>
      <w:proofErr w:type="spellEnd"/>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law of contract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twenty third</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edition</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by A. G. Guest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Oxford 1971</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385.</w:t>
      </w:r>
    </w:p>
  </w:footnote>
  <w:footnote w:id="305">
    <w:p w14:paraId="688DC551" w14:textId="77777777" w:rsidR="008C0FB5" w:rsidRPr="001B5175" w:rsidRDefault="008C0FB5" w:rsidP="00C35031">
      <w:pPr>
        <w:pStyle w:val="af"/>
        <w:bidi w:val="0"/>
        <w:ind w:left="0" w:firstLine="0"/>
        <w:rPr>
          <w:rFonts w:ascii="Times New Roman" w:hAnsi="Times New Roman" w:cs="Times New Roman"/>
          <w:sz w:val="24"/>
          <w:szCs w:val="24"/>
        </w:rPr>
      </w:pPr>
      <w:r w:rsidRPr="001B5175">
        <w:rPr>
          <w:rFonts w:ascii="Times New Roman" w:hAnsi="Times New Roman" w:cs="Saihat"/>
          <w:sz w:val="24"/>
          <w:szCs w:val="24"/>
        </w:rPr>
        <w:t>(</w:t>
      </w:r>
      <w:r w:rsidRPr="001B5175">
        <w:rPr>
          <w:rFonts w:ascii="Times New Roman" w:hAnsi="Times New Roman" w:cs="Saihat"/>
          <w:sz w:val="24"/>
          <w:szCs w:val="24"/>
        </w:rPr>
        <w:footnoteRef/>
      </w:r>
      <w:r w:rsidRPr="001B5175">
        <w:rPr>
          <w:rFonts w:ascii="Times New Roman" w:hAnsi="Times New Roman" w:cs="Saihat"/>
          <w:sz w:val="24"/>
          <w:szCs w:val="24"/>
        </w:rPr>
        <w: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1951</w:t>
      </w:r>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ch.</w:t>
      </w:r>
      <w:proofErr w:type="spellEnd"/>
      <w:r w:rsidRPr="001B5175">
        <w:rPr>
          <w:rFonts w:ascii="Times New Roman" w:hAnsi="Times New Roman" w:cs="Times New Roman"/>
          <w:sz w:val="24"/>
          <w:szCs w:val="24"/>
        </w:rPr>
        <w:t xml:space="preserve"> 669: (1951) 1</w:t>
      </w:r>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Alie</w:t>
      </w:r>
      <w:proofErr w:type="spellEnd"/>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R905.</w:t>
      </w:r>
    </w:p>
    <w:p w14:paraId="21D7A8DE" w14:textId="77777777" w:rsidR="008C0FB5" w:rsidRPr="001B5175" w:rsidRDefault="008C0FB5" w:rsidP="008C0FB5">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أشار إليه ج. س. شيشر (مشارك)، المرجع السابق، ص19.</w:t>
      </w:r>
    </w:p>
  </w:footnote>
  <w:footnote w:id="306">
    <w:p w14:paraId="69760A76" w14:textId="77777777" w:rsidR="008C0FB5" w:rsidRPr="001B5175" w:rsidRDefault="008C0FB5" w:rsidP="00C35031">
      <w:pPr>
        <w:pStyle w:val="af"/>
        <w:bidi w:val="0"/>
        <w:ind w:left="0" w:firstLine="0"/>
        <w:rPr>
          <w:rFonts w:ascii="Times New Roman" w:hAnsi="Times New Roman" w:cs="Times New Roman"/>
          <w:sz w:val="24"/>
          <w:szCs w:val="24"/>
          <w:rtl/>
        </w:rPr>
      </w:pPr>
      <w:r w:rsidRPr="001B5175">
        <w:rPr>
          <w:rFonts w:ascii="Times New Roman" w:hAnsi="Times New Roman" w:cs="Times New Roman"/>
          <w:sz w:val="24"/>
          <w:szCs w:val="24"/>
          <w:rtl/>
        </w:rPr>
        <w:t>)</w:t>
      </w:r>
      <w:r w:rsidRPr="001B5175">
        <w:rPr>
          <w:rFonts w:ascii="Times New Roman" w:hAnsi="Times New Roman" w:cs="Times New Roman"/>
          <w:sz w:val="24"/>
          <w:szCs w:val="24"/>
        </w:rPr>
        <w:footnoteRef/>
      </w:r>
      <w:r w:rsidRPr="001B5175">
        <w:rPr>
          <w:rFonts w:ascii="Times New Roman" w:hAnsi="Times New Roman" w:cs="Times New Roman"/>
          <w:sz w:val="24"/>
          <w:szCs w:val="24"/>
          <w:rtl/>
        </w:rPr>
        <w:t xml:space="preserve">( </w:t>
      </w:r>
      <w:proofErr w:type="spellStart"/>
      <w:r w:rsidRPr="001B5175">
        <w:rPr>
          <w:rFonts w:ascii="Times New Roman" w:hAnsi="Times New Roman" w:cs="Times New Roman"/>
          <w:sz w:val="24"/>
          <w:szCs w:val="24"/>
        </w:rPr>
        <w:t>Ason's</w:t>
      </w:r>
      <w:proofErr w:type="spellEnd"/>
      <w:r w:rsidRPr="001B5175">
        <w:rPr>
          <w:rFonts w:ascii="Times New Roman" w:hAnsi="Times New Roman" w:cs="Times New Roman"/>
          <w:sz w:val="24"/>
          <w:szCs w:val="24"/>
        </w:rPr>
        <w:t>. Op. Cit.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386.</w:t>
      </w:r>
    </w:p>
  </w:footnote>
  <w:footnote w:id="307">
    <w:p w14:paraId="707C4B72" w14:textId="77777777" w:rsidR="008C0FB5" w:rsidRPr="001B5175" w:rsidRDefault="008C0FB5" w:rsidP="00C35031">
      <w:pPr>
        <w:pStyle w:val="af"/>
        <w:bidi w:val="0"/>
        <w:ind w:left="0" w:firstLine="0"/>
        <w:rPr>
          <w:rFonts w:ascii="Times New Roman" w:hAnsi="Times New Roman" w:cs="Times New Roman"/>
          <w:sz w:val="24"/>
          <w:szCs w:val="24"/>
        </w:rPr>
      </w:pPr>
      <w:r w:rsidRPr="001B5175">
        <w:rPr>
          <w:rFonts w:ascii="Times New Roman" w:hAnsi="Times New Roman" w:cs="Times New Roman"/>
          <w:sz w:val="24"/>
          <w:szCs w:val="24"/>
          <w:rtl/>
        </w:rPr>
        <w:t>)</w:t>
      </w:r>
      <w:r w:rsidRPr="001B5175">
        <w:rPr>
          <w:rFonts w:ascii="Times New Roman" w:hAnsi="Times New Roman" w:cs="Times New Roman"/>
          <w:sz w:val="24"/>
          <w:szCs w:val="24"/>
        </w:rPr>
        <w:footnoteRef/>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Salmond</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Op. Cit.</w:t>
      </w:r>
      <w:r w:rsidRPr="001B5175">
        <w:rPr>
          <w:rFonts w:ascii="Times New Roman" w:hAnsi="Times New Roman" w:cs="Times New Roman"/>
          <w:sz w:val="24"/>
          <w:szCs w:val="24"/>
          <w:rtl/>
        </w:rPr>
        <w:t xml:space="preserve">، </w:t>
      </w:r>
      <w:r w:rsidRPr="001B5175">
        <w:rPr>
          <w:rFonts w:ascii="Times New Roman" w:hAnsi="Times New Roman" w:cs="Times New Roman"/>
          <w:sz w:val="24"/>
          <w:szCs w:val="24"/>
        </w:rPr>
        <w:t>p. 92.</w:t>
      </w:r>
    </w:p>
  </w:footnote>
  <w:footnote w:id="308">
    <w:p w14:paraId="6B675AE8"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 xml:space="preserve">(3) مجيد حميد العنبكي، </w:t>
      </w:r>
      <w:r w:rsidRPr="001B5175">
        <w:rPr>
          <w:rFonts w:ascii="Lotus Linotype" w:hAnsi="Lotus Linotype" w:cs="Lotus Linotype"/>
          <w:b/>
          <w:bCs/>
          <w:i/>
          <w:iCs/>
          <w:sz w:val="24"/>
          <w:szCs w:val="24"/>
          <w:rtl/>
        </w:rPr>
        <w:t>إنشاء العقد في القانون الانكليزي</w:t>
      </w:r>
      <w:r w:rsidRPr="001B5175">
        <w:rPr>
          <w:rFonts w:ascii="Lotus Linotype" w:hAnsi="Lotus Linotype" w:cs="Lotus Linotype"/>
          <w:sz w:val="24"/>
          <w:szCs w:val="24"/>
          <w:rtl/>
        </w:rPr>
        <w:t>، مجلة جامعة النهرين ، الحقوق، المجلد الثالث، ع3، تموز، 1999، ص78.</w:t>
      </w:r>
    </w:p>
  </w:footnote>
  <w:footnote w:id="309">
    <w:p w14:paraId="7717784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Pr>
        <w:t>.</w:t>
      </w:r>
      <w:r w:rsidRPr="001B5175">
        <w:rPr>
          <w:rFonts w:ascii="Lotus Linotype" w:hAnsi="Lotus Linotype" w:cs="Lotus Linotype"/>
          <w:sz w:val="24"/>
          <w:szCs w:val="24"/>
          <w:rtl/>
        </w:rPr>
        <w:t xml:space="preserve">عبد المجيد ىالحكيم ، </w:t>
      </w:r>
      <w:r w:rsidRPr="001B5175">
        <w:rPr>
          <w:rFonts w:ascii="Lotus Linotype" w:hAnsi="Lotus Linotype" w:cs="Lotus Linotype"/>
          <w:b/>
          <w:bCs/>
          <w:i/>
          <w:iCs/>
          <w:sz w:val="24"/>
          <w:szCs w:val="24"/>
          <w:rtl/>
        </w:rPr>
        <w:t>الاعتبار كركن في العقد</w:t>
      </w:r>
      <w:r w:rsidRPr="001B5175">
        <w:rPr>
          <w:rFonts w:ascii="Lotus Linotype" w:hAnsi="Lotus Linotype" w:cs="Lotus Linotype"/>
          <w:sz w:val="24"/>
          <w:szCs w:val="24"/>
          <w:rtl/>
        </w:rPr>
        <w:t xml:space="preserve">،  مرجع سابق، ص 22 </w:t>
      </w:r>
      <w:r w:rsidRPr="001B5175">
        <w:rPr>
          <w:rFonts w:ascii="Lotus Linotype" w:hAnsi="Lotus Linotype" w:cs="Lotus Linotype"/>
          <w:sz w:val="24"/>
          <w:szCs w:val="24"/>
        </w:rPr>
        <w:t xml:space="preserve"> </w:t>
      </w:r>
    </w:p>
  </w:footnote>
  <w:footnote w:id="310">
    <w:p w14:paraId="5A6E41B0" w14:textId="77777777" w:rsidR="008C0FB5" w:rsidRPr="001B5175" w:rsidRDefault="008C0FB5" w:rsidP="008C0FB5">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xml:space="preserve">) طلبة وهبة خطاب، المرجع السابق، ص81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82.</w:t>
      </w:r>
    </w:p>
  </w:footnote>
  <w:footnote w:id="311">
    <w:p w14:paraId="52DAED8E" w14:textId="77777777" w:rsidR="008C0FB5" w:rsidRPr="001B5175" w:rsidRDefault="008C0FB5" w:rsidP="008C0FB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جمال الدين محمود، المرجع السابق، ص87 </w:t>
      </w:r>
      <w:r w:rsidRPr="001B5175">
        <w:rPr>
          <w:rFonts w:ascii="Times New Roman" w:hAnsi="Times New Roman" w:cs="Times New Roman" w:hint="cs"/>
          <w:sz w:val="24"/>
          <w:szCs w:val="24"/>
          <w:rtl/>
        </w:rPr>
        <w:t>–</w:t>
      </w:r>
      <w:r w:rsidRPr="001B5175">
        <w:rPr>
          <w:rFonts w:ascii="Lotus Linotype" w:hAnsi="Lotus Linotype" w:cs="Lotus Linotype"/>
          <w:sz w:val="24"/>
          <w:szCs w:val="24"/>
          <w:rtl/>
        </w:rPr>
        <w:t xml:space="preserve"> 89.</w:t>
      </w:r>
    </w:p>
  </w:footnote>
  <w:footnote w:id="312">
    <w:p w14:paraId="33D83AA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Saihat"/>
          <w:sz w:val="24"/>
          <w:szCs w:val="24"/>
          <w:rtl/>
        </w:rPr>
        <w:t>(</w:t>
      </w:r>
      <w:r w:rsidRPr="001B5175">
        <w:rPr>
          <w:rFonts w:ascii="Lotus Linotype" w:hAnsi="Lotus Linotype" w:cs="Saihat"/>
          <w:sz w:val="24"/>
          <w:szCs w:val="24"/>
          <w:rtl/>
        </w:rPr>
        <w:footnoteRef/>
      </w:r>
      <w:r w:rsidRPr="001B5175">
        <w:rPr>
          <w:rFonts w:ascii="Lotus Linotype" w:hAnsi="Lotus Linotype" w:cs="Saihat"/>
          <w:sz w:val="24"/>
          <w:szCs w:val="24"/>
          <w:rtl/>
        </w:rPr>
        <w:t>)</w:t>
      </w:r>
      <w:r w:rsidRPr="001B5175">
        <w:rPr>
          <w:rFonts w:ascii="Lotus Linotype" w:hAnsi="Lotus Linotype" w:cs="Lotus Linotype"/>
          <w:sz w:val="24"/>
          <w:szCs w:val="24"/>
          <w:rtl/>
        </w:rPr>
        <w:t xml:space="preserve"> علي أحمد صالح المهداوي، المرجع السابق، ص106.</w:t>
      </w:r>
    </w:p>
  </w:footnote>
  <w:footnote w:id="313">
    <w:p w14:paraId="094ED8E3" w14:textId="77777777" w:rsidR="008C0FB5" w:rsidRPr="001B5175" w:rsidRDefault="008C0FB5" w:rsidP="0099696D">
      <w:pPr>
        <w:pStyle w:val="af"/>
        <w:ind w:left="0" w:firstLine="0"/>
        <w:rPr>
          <w:rFonts w:ascii="Lotus Linotype" w:hAnsi="Lotus Linotype" w:cs="Lotus Linotype"/>
          <w:sz w:val="24"/>
          <w:szCs w:val="24"/>
          <w:rtl/>
        </w:rPr>
      </w:pPr>
      <w:r>
        <w:rPr>
          <w:rFonts w:ascii="Lotus Linotype" w:hAnsi="Lotus Linotype" w:cs="Lotus Linotype"/>
          <w:sz w:val="24"/>
          <w:szCs w:val="24"/>
          <w:rtl/>
        </w:rPr>
        <w:t>(</w:t>
      </w:r>
      <w:r>
        <w:rPr>
          <w:rFonts w:ascii="Lotus Linotype" w:hAnsi="Lotus Linotype" w:cs="Lotus Linotype" w:hint="cs"/>
          <w:sz w:val="24"/>
          <w:szCs w:val="24"/>
          <w:rtl/>
        </w:rPr>
        <w:t>2</w:t>
      </w:r>
      <w:r w:rsidRPr="001B5175">
        <w:rPr>
          <w:rFonts w:ascii="Lotus Linotype" w:hAnsi="Lotus Linotype" w:cs="Lotus Linotype"/>
          <w:sz w:val="24"/>
          <w:szCs w:val="24"/>
          <w:rtl/>
        </w:rPr>
        <w:t>) حليمة آيت حمودي، المرجع السابق، ص136.</w:t>
      </w:r>
    </w:p>
  </w:footnote>
  <w:footnote w:id="314">
    <w:p w14:paraId="30E32321" w14:textId="77777777" w:rsidR="008C0FB5" w:rsidRPr="001B5175" w:rsidRDefault="008C0FB5" w:rsidP="008C0FB5">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w:t>
      </w:r>
      <w:r>
        <w:rPr>
          <w:rFonts w:ascii="Lotus Linotype" w:hAnsi="Lotus Linotype" w:cs="Lotus Linotype" w:hint="cs"/>
          <w:sz w:val="24"/>
          <w:szCs w:val="24"/>
          <w:rtl/>
        </w:rPr>
        <w:t>3</w:t>
      </w:r>
      <w:r w:rsidRPr="001B5175">
        <w:rPr>
          <w:rFonts w:ascii="Lotus Linotype" w:hAnsi="Lotus Linotype" w:cs="Lotus Linotype"/>
          <w:sz w:val="24"/>
          <w:szCs w:val="24"/>
          <w:rtl/>
        </w:rPr>
        <w:t xml:space="preserve">) جلال علي العدوي، </w:t>
      </w:r>
      <w:r w:rsidRPr="001B5175">
        <w:rPr>
          <w:rFonts w:ascii="Lotus Linotype" w:hAnsi="Lotus Linotype" w:cs="Lotus Linotype"/>
          <w:b/>
          <w:bCs/>
          <w:i/>
          <w:iCs/>
          <w:sz w:val="24"/>
          <w:szCs w:val="24"/>
          <w:rtl/>
        </w:rPr>
        <w:t>مبادئ الالتزامات</w:t>
      </w:r>
      <w:r w:rsidRPr="001B5175">
        <w:rPr>
          <w:rFonts w:ascii="Lotus Linotype" w:hAnsi="Lotus Linotype" w:cs="Lotus Linotype"/>
          <w:sz w:val="24"/>
          <w:szCs w:val="24"/>
          <w:rtl/>
        </w:rPr>
        <w:t>، ج1، مصادر الالتزام، ص102.</w:t>
      </w:r>
    </w:p>
  </w:footnote>
  <w:footnote w:id="315">
    <w:p w14:paraId="14C77857"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انظر في هذا الرأي: طلبة وهبة خطاب، المرجع السابق، ص81، عبد المجيد الحكيم، </w:t>
      </w:r>
      <w:r w:rsidRPr="001B5175">
        <w:rPr>
          <w:rFonts w:ascii="Lotus Linotype" w:hAnsi="Lotus Linotype" w:cs="Lotus Linotype"/>
          <w:b/>
          <w:bCs/>
          <w:i/>
          <w:iCs/>
          <w:sz w:val="24"/>
          <w:szCs w:val="24"/>
          <w:rtl/>
        </w:rPr>
        <w:t>الاعتبار</w:t>
      </w:r>
      <w:r w:rsidRPr="001B5175">
        <w:rPr>
          <w:rFonts w:ascii="Lotus Linotype" w:hAnsi="Lotus Linotype" w:cs="Lotus Linotype"/>
          <w:sz w:val="24"/>
          <w:szCs w:val="24"/>
          <w:rtl/>
        </w:rPr>
        <w:t>، المرجع السابق، ص287.</w:t>
      </w:r>
    </w:p>
  </w:footnote>
  <w:footnote w:id="316">
    <w:p w14:paraId="436062CB" w14:textId="77777777" w:rsidR="008C0FB5" w:rsidRPr="001B5175" w:rsidRDefault="008C0FB5" w:rsidP="0099696D">
      <w:pPr>
        <w:pStyle w:val="af"/>
        <w:ind w:left="0" w:firstLine="0"/>
        <w:rPr>
          <w:rFonts w:ascii="Lotus Linotype" w:hAnsi="Lotus Linotype" w:cs="Lotus Linotype"/>
          <w:sz w:val="24"/>
          <w:szCs w:val="24"/>
        </w:rPr>
      </w:pPr>
      <w:r w:rsidRPr="001B5175">
        <w:rPr>
          <w:rFonts w:ascii="Lotus Linotype" w:hAnsi="Lotus Linotype" w:cs="Lotus Linotype"/>
          <w:sz w:val="24"/>
          <w:szCs w:val="24"/>
          <w:rtl/>
        </w:rPr>
        <w:t>(2) مجيد حميد العنبكي</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إنشاء</w:t>
      </w:r>
      <w:r w:rsidRPr="001B5175">
        <w:rPr>
          <w:rFonts w:ascii="Lotus Linotype" w:hAnsi="Lotus Linotype" w:cs="Lotus Linotype"/>
          <w:sz w:val="24"/>
          <w:szCs w:val="24"/>
          <w:rtl/>
        </w:rPr>
        <w:t xml:space="preserve"> </w:t>
      </w:r>
      <w:r w:rsidRPr="001B5175">
        <w:rPr>
          <w:rFonts w:ascii="Lotus Linotype" w:hAnsi="Lotus Linotype" w:cs="Lotus Linotype"/>
          <w:b/>
          <w:bCs/>
          <w:i/>
          <w:iCs/>
          <w:sz w:val="24"/>
          <w:szCs w:val="24"/>
          <w:rtl/>
        </w:rPr>
        <w:t>العقد</w:t>
      </w:r>
      <w:r w:rsidRPr="001B5175">
        <w:rPr>
          <w:rFonts w:ascii="Lotus Linotype" w:hAnsi="Lotus Linotype" w:cs="Lotus Linotype"/>
          <w:sz w:val="24"/>
          <w:szCs w:val="24"/>
          <w:rtl/>
        </w:rPr>
        <w:t>، المرجع السابق، ص22.</w:t>
      </w:r>
    </w:p>
  </w:footnote>
  <w:footnote w:id="317">
    <w:p w14:paraId="63BAE0A2"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 xml:space="preserve">(1) الإمام الخميني، </w:t>
      </w:r>
      <w:r w:rsidRPr="001B5175">
        <w:rPr>
          <w:rFonts w:ascii="Lotus Linotype" w:hAnsi="Lotus Linotype" w:cs="Lotus Linotype"/>
          <w:b/>
          <w:bCs/>
          <w:i/>
          <w:iCs/>
          <w:sz w:val="24"/>
          <w:szCs w:val="24"/>
          <w:rtl/>
        </w:rPr>
        <w:t>المكاسب</w:t>
      </w:r>
      <w:r w:rsidRPr="001B5175">
        <w:rPr>
          <w:rFonts w:ascii="Lotus Linotype" w:hAnsi="Lotus Linotype" w:cs="Lotus Linotype"/>
          <w:sz w:val="24"/>
          <w:szCs w:val="24"/>
          <w:rtl/>
        </w:rPr>
        <w:t>، المرجع السابق، ص162.</w:t>
      </w:r>
    </w:p>
  </w:footnote>
  <w:footnote w:id="318">
    <w:p w14:paraId="13488D5B" w14:textId="77777777" w:rsidR="008C0FB5" w:rsidRPr="001B5175" w:rsidRDefault="008C0FB5" w:rsidP="0099696D">
      <w:pPr>
        <w:pStyle w:val="af"/>
        <w:ind w:left="0" w:firstLine="0"/>
        <w:rPr>
          <w:rFonts w:ascii="Lotus Linotype" w:hAnsi="Lotus Linotype" w:cs="Lotus Linotype"/>
          <w:sz w:val="24"/>
          <w:szCs w:val="24"/>
          <w:rtl/>
        </w:rPr>
      </w:pPr>
      <w:r w:rsidRPr="001B5175">
        <w:rPr>
          <w:rFonts w:ascii="Lotus Linotype" w:hAnsi="Lotus Linotype" w:cs="Lotus Linotype"/>
          <w:sz w:val="24"/>
          <w:szCs w:val="24"/>
          <w:rtl/>
        </w:rPr>
        <w:t>(1) المادة 132 من القانون المدني العراقي.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3371" w14:textId="77777777" w:rsidR="008C0FB5" w:rsidRPr="005A1DB3" w:rsidRDefault="008C0FB5" w:rsidP="00155784">
    <w:pPr>
      <w:pStyle w:val="af9"/>
      <w:ind w:firstLine="0"/>
      <w:rPr>
        <w:lang w:bidi="ar-IQ"/>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1769" w14:textId="77777777" w:rsidR="008C0FB5" w:rsidRPr="00BB1E12" w:rsidRDefault="008C0FB5" w:rsidP="0092249A">
    <w:pPr>
      <w:pStyle w:val="af9"/>
      <w:tabs>
        <w:tab w:val="clear" w:pos="4513"/>
        <w:tab w:val="right" w:leader="dot" w:pos="8504"/>
      </w:tabs>
      <w:ind w:hanging="1"/>
      <w:jc w:val="right"/>
      <w:rPr>
        <w:rFonts w:ascii="Lotus Linotype" w:hAnsi="Lotus Linotype" w:cs="Lotus Linotype"/>
        <w:b/>
        <w:rtl/>
      </w:rPr>
    </w:pPr>
    <w:r>
      <w:rPr>
        <w:rFonts w:ascii="Lotus Linotype" w:hAnsi="Lotus Linotype" w:cs="Lotus Linotype" w:hint="cs"/>
        <w:rtl/>
      </w:rPr>
      <w:t xml:space="preserve">الفصل الثاني: </w:t>
    </w:r>
    <w:r w:rsidRPr="0092249A">
      <w:rPr>
        <w:rFonts w:ascii="Lotus Linotype" w:hAnsi="Lotus Linotype" w:cs="Lotus Linotype"/>
        <w:rtl/>
      </w:rPr>
      <w:t xml:space="preserve">أحكـام نظــــــرية الباعــــث </w:t>
    </w:r>
    <w:r w:rsidRPr="00BB1E12">
      <w:rPr>
        <w:rFonts w:ascii="Lotus Linotype" w:hAnsi="Lotus Linotype" w:cs="Lotus Linotype" w:hint="cs"/>
        <w:rtl/>
      </w:rPr>
      <w:t xml:space="preserve">  </w:t>
    </w:r>
    <w:r w:rsidRPr="00BB1E12">
      <w:rPr>
        <w:rFonts w:hint="cs"/>
      </w:rPr>
      <w:sym w:font="Wingdings" w:char="F076"/>
    </w:r>
    <w:r w:rsidRPr="00BB1E12">
      <w:rPr>
        <w:rFonts w:hint="cs"/>
        <w:rtl/>
      </w:rPr>
      <w:t xml:space="preserve">   </w:t>
    </w: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00F63793">
      <w:rPr>
        <w:rStyle w:val="afffe"/>
        <w:rFonts w:ascii="Lotus Linotype" w:hAnsi="Lotus Linotype" w:cs="Lotus Linotype"/>
        <w:b/>
        <w:noProof/>
        <w:rtl/>
        <w:lang w:bidi="ar-IQ"/>
      </w:rPr>
      <w:t>63</w:t>
    </w:r>
    <w:r w:rsidRPr="00BB1E12">
      <w:rPr>
        <w:rStyle w:val="afffe"/>
        <w:rFonts w:ascii="Lotus Linotype" w:hAnsi="Lotus Linotype" w:cs="Lotus Linotype"/>
        <w:b/>
        <w:noProof/>
        <w:lang w:bidi="ar-IQ"/>
      </w:rPr>
      <w:fldChar w:fldCharType="end"/>
    </w:r>
  </w:p>
  <w:p w14:paraId="10F8CA06" w14:textId="25F5873A" w:rsidR="008C0FB5" w:rsidRPr="005A1DB3" w:rsidRDefault="007C3C34" w:rsidP="0015004E">
    <w:pPr>
      <w:pStyle w:val="af9"/>
      <w:ind w:firstLine="0"/>
      <w:rPr>
        <w:lang w:bidi="ar-IQ"/>
      </w:rPr>
    </w:pPr>
    <w:r>
      <w:rPr>
        <w:rFonts w:ascii="Lotus Linotype" w:hAnsi="Lotus Linotype" w:cs="Lotus Linotype"/>
        <w:noProof/>
      </w:rPr>
      <mc:AlternateContent>
        <mc:Choice Requires="wps">
          <w:drawing>
            <wp:anchor distT="0" distB="0" distL="114300" distR="114300" simplePos="0" relativeHeight="251656192" behindDoc="0" locked="0" layoutInCell="1" allowOverlap="1" wp14:anchorId="1CAB72FD" wp14:editId="1BEB1E49">
              <wp:simplePos x="0" y="0"/>
              <wp:positionH relativeFrom="column">
                <wp:posOffset>635</wp:posOffset>
              </wp:positionH>
              <wp:positionV relativeFrom="paragraph">
                <wp:posOffset>54610</wp:posOffset>
              </wp:positionV>
              <wp:extent cx="2919095" cy="635"/>
              <wp:effectExtent l="5715" t="13970" r="8890" b="1397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90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B7B91" id="_x0000_t32" coordsize="21600,21600" o:spt="32" o:oned="t" path="m,l21600,21600e" filled="f">
              <v:path arrowok="t" fillok="f" o:connecttype="none"/>
              <o:lock v:ext="edit" shapetype="t"/>
            </v:shapetype>
            <v:shape id="AutoShape 24" o:spid="_x0000_s1026" type="#_x0000_t32" style="position:absolute;left:0;text-align:left;margin-left:.05pt;margin-top:4.3pt;width:229.8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&#1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C317" w14:textId="77777777" w:rsidR="008C0FB5" w:rsidRPr="00BB1E12" w:rsidRDefault="008C0FB5" w:rsidP="00D04880">
    <w:pPr>
      <w:pStyle w:val="af9"/>
      <w:tabs>
        <w:tab w:val="clear" w:pos="4513"/>
        <w:tab w:val="right" w:leader="dot" w:pos="8504"/>
      </w:tabs>
      <w:ind w:hanging="1"/>
      <w:jc w:val="right"/>
      <w:rPr>
        <w:rFonts w:ascii="Lotus Linotype" w:hAnsi="Lotus Linotype" w:cs="Lotus Linotype"/>
        <w:b/>
        <w:rtl/>
      </w:rPr>
    </w:pPr>
    <w:r>
      <w:rPr>
        <w:rFonts w:ascii="Lotus Linotype" w:hAnsi="Lotus Linotype" w:cs="Lotus Linotype" w:hint="cs"/>
        <w:rtl/>
      </w:rPr>
      <w:t xml:space="preserve">الفصل الثالث: </w:t>
    </w:r>
    <w:r w:rsidRPr="0092249A">
      <w:rPr>
        <w:rFonts w:ascii="Lotus Linotype" w:hAnsi="Lotus Linotype" w:cs="Lotus Linotype"/>
        <w:rtl/>
      </w:rPr>
      <w:t xml:space="preserve">نظرية الباعث في الفقه الإسلامي </w:t>
    </w:r>
    <w:r w:rsidRPr="00BB1E12">
      <w:rPr>
        <w:rFonts w:ascii="Lotus Linotype" w:hAnsi="Lotus Linotype" w:cs="Lotus Linotype" w:hint="cs"/>
        <w:rtl/>
      </w:rPr>
      <w:t xml:space="preserve"> </w:t>
    </w:r>
    <w:r w:rsidRPr="00BB1E12">
      <w:rPr>
        <w:rFonts w:hint="cs"/>
      </w:rPr>
      <w:sym w:font="Wingdings" w:char="F076"/>
    </w:r>
    <w:r w:rsidRPr="00BB1E12">
      <w:rPr>
        <w:rFonts w:hint="cs"/>
        <w:rtl/>
      </w:rPr>
      <w:t xml:space="preserve">   </w:t>
    </w: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00F63793">
      <w:rPr>
        <w:rStyle w:val="afffe"/>
        <w:rFonts w:ascii="Lotus Linotype" w:hAnsi="Lotus Linotype" w:cs="Lotus Linotype"/>
        <w:b/>
        <w:noProof/>
        <w:rtl/>
        <w:lang w:bidi="ar-IQ"/>
      </w:rPr>
      <w:t>109</w:t>
    </w:r>
    <w:r w:rsidRPr="00BB1E12">
      <w:rPr>
        <w:rStyle w:val="afffe"/>
        <w:rFonts w:ascii="Lotus Linotype" w:hAnsi="Lotus Linotype" w:cs="Lotus Linotype"/>
        <w:b/>
        <w:noProof/>
        <w:lang w:bidi="ar-IQ"/>
      </w:rPr>
      <w:fldChar w:fldCharType="end"/>
    </w:r>
  </w:p>
  <w:p w14:paraId="65B9233B" w14:textId="7A6BE50D" w:rsidR="008C0FB5" w:rsidRPr="005A1DB3" w:rsidRDefault="007C3C34" w:rsidP="0015004E">
    <w:pPr>
      <w:pStyle w:val="af9"/>
      <w:ind w:firstLine="0"/>
      <w:rPr>
        <w:lang w:bidi="ar-IQ"/>
      </w:rPr>
    </w:pPr>
    <w:r>
      <w:rPr>
        <w:rFonts w:ascii="Lotus Linotype" w:hAnsi="Lotus Linotype" w:cs="Lotus Linotype"/>
        <w:noProof/>
      </w:rPr>
      <mc:AlternateContent>
        <mc:Choice Requires="wps">
          <w:drawing>
            <wp:anchor distT="0" distB="0" distL="114300" distR="114300" simplePos="0" relativeHeight="251657216" behindDoc="0" locked="0" layoutInCell="1" allowOverlap="1" wp14:anchorId="786712FF" wp14:editId="6C61AE62">
              <wp:simplePos x="0" y="0"/>
              <wp:positionH relativeFrom="column">
                <wp:posOffset>635</wp:posOffset>
              </wp:positionH>
              <wp:positionV relativeFrom="paragraph">
                <wp:posOffset>55245</wp:posOffset>
              </wp:positionV>
              <wp:extent cx="2987040" cy="0"/>
              <wp:effectExtent l="5715" t="5080" r="7620" b="1397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7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643A02" id="_x0000_t32" coordsize="21600,21600" o:spt="32" o:oned="t" path="m,l21600,21600e" filled="f">
              <v:path arrowok="t" fillok="f" o:connecttype="none"/>
              <o:lock v:ext="edit" shapetype="t"/>
            </v:shapetype>
            <v:shape id="AutoShape 25" o:spid="_x0000_s1026" type="#_x0000_t32" style="position:absolute;left:0;text-align:left;margin-left:.05pt;margin-top:4.35pt;width:235.2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&#1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4E1D" w14:textId="77777777" w:rsidR="008C0FB5" w:rsidRPr="00BB1E12" w:rsidRDefault="008C0FB5" w:rsidP="00914FA7">
    <w:pPr>
      <w:pStyle w:val="af9"/>
      <w:tabs>
        <w:tab w:val="clear" w:pos="4513"/>
        <w:tab w:val="right" w:leader="dot" w:pos="8504"/>
      </w:tabs>
      <w:ind w:hanging="1"/>
      <w:jc w:val="right"/>
      <w:rPr>
        <w:rFonts w:ascii="Lotus Linotype" w:hAnsi="Lotus Linotype" w:cs="Lotus Linotype"/>
        <w:b/>
        <w:rtl/>
      </w:rPr>
    </w:pPr>
    <w:r>
      <w:rPr>
        <w:rFonts w:ascii="Lotus Linotype" w:hAnsi="Lotus Linotype" w:cs="Lotus Linotype" w:hint="cs"/>
        <w:rtl/>
      </w:rPr>
      <w:t xml:space="preserve">الفصل الرابع: </w:t>
    </w:r>
    <w:r w:rsidRPr="00914FA7">
      <w:rPr>
        <w:rFonts w:ascii="Lotus Linotype" w:hAnsi="Lotus Linotype" w:cs="Lotus Linotype"/>
        <w:rtl/>
      </w:rPr>
      <w:t>نظرية الباعث في بعض النظم القانونية الوضعية</w:t>
    </w:r>
    <w:r w:rsidRPr="0092249A">
      <w:rPr>
        <w:rFonts w:ascii="Lotus Linotype" w:hAnsi="Lotus Linotype" w:cs="Lotus Linotype"/>
        <w:rtl/>
      </w:rPr>
      <w:t xml:space="preserve"> </w:t>
    </w:r>
    <w:r w:rsidRPr="00BB1E12">
      <w:rPr>
        <w:rFonts w:ascii="Lotus Linotype" w:hAnsi="Lotus Linotype" w:cs="Lotus Linotype" w:hint="cs"/>
        <w:rtl/>
      </w:rPr>
      <w:t xml:space="preserve"> </w:t>
    </w:r>
    <w:r w:rsidRPr="00BB1E12">
      <w:rPr>
        <w:rFonts w:hint="cs"/>
      </w:rPr>
      <w:sym w:font="Wingdings" w:char="F076"/>
    </w:r>
    <w:r w:rsidRPr="00BB1E12">
      <w:rPr>
        <w:rFonts w:hint="cs"/>
        <w:rtl/>
      </w:rPr>
      <w:t xml:space="preserve">   </w:t>
    </w: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00F63793">
      <w:rPr>
        <w:rStyle w:val="afffe"/>
        <w:rFonts w:ascii="Lotus Linotype" w:hAnsi="Lotus Linotype" w:cs="Lotus Linotype"/>
        <w:b/>
        <w:noProof/>
        <w:rtl/>
        <w:lang w:bidi="ar-IQ"/>
      </w:rPr>
      <w:t>145</w:t>
    </w:r>
    <w:r w:rsidRPr="00BB1E12">
      <w:rPr>
        <w:rStyle w:val="afffe"/>
        <w:rFonts w:ascii="Lotus Linotype" w:hAnsi="Lotus Linotype" w:cs="Lotus Linotype"/>
        <w:b/>
        <w:noProof/>
        <w:lang w:bidi="ar-IQ"/>
      </w:rPr>
      <w:fldChar w:fldCharType="end"/>
    </w:r>
  </w:p>
  <w:p w14:paraId="1227939E" w14:textId="44BEA2F0" w:rsidR="008C0FB5" w:rsidRPr="005A1DB3" w:rsidRDefault="007C3C34" w:rsidP="0015004E">
    <w:pPr>
      <w:pStyle w:val="af9"/>
      <w:ind w:firstLine="0"/>
      <w:rPr>
        <w:lang w:bidi="ar-IQ"/>
      </w:rPr>
    </w:pPr>
    <w:r>
      <w:rPr>
        <w:rFonts w:ascii="Lotus Linotype" w:hAnsi="Lotus Linotype" w:cs="Lotus Linotype"/>
        <w:noProof/>
      </w:rPr>
      <mc:AlternateContent>
        <mc:Choice Requires="wps">
          <w:drawing>
            <wp:anchor distT="0" distB="0" distL="114300" distR="114300" simplePos="0" relativeHeight="251659264" behindDoc="0" locked="0" layoutInCell="1" allowOverlap="1" wp14:anchorId="2550BE98" wp14:editId="2D87907C">
              <wp:simplePos x="0" y="0"/>
              <wp:positionH relativeFrom="column">
                <wp:posOffset>635</wp:posOffset>
              </wp:positionH>
              <wp:positionV relativeFrom="paragraph">
                <wp:posOffset>55245</wp:posOffset>
              </wp:positionV>
              <wp:extent cx="3777615" cy="635"/>
              <wp:effectExtent l="5715" t="5080" r="7620" b="13335"/>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76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367A2" id="_x0000_t32" coordsize="21600,21600" o:spt="32" o:oned="t" path="m,l21600,21600e" filled="f">
              <v:path arrowok="t" fillok="f" o:connecttype="none"/>
              <o:lock v:ext="edit" shapetype="t"/>
            </v:shapetype>
            <v:shape id="AutoShape 27" o:spid="_x0000_s1026" type="#_x0000_t32" style="position:absolute;left:0;text-align:left;margin-left:.05pt;margin-top:4.35pt;width:297.45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&#1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8BDA" w14:textId="77777777" w:rsidR="008C0FB5" w:rsidRPr="00BB1E12" w:rsidRDefault="008C0FB5" w:rsidP="00D04880">
    <w:pPr>
      <w:pStyle w:val="af9"/>
      <w:tabs>
        <w:tab w:val="clear" w:pos="4513"/>
        <w:tab w:val="right" w:leader="dot" w:pos="8504"/>
      </w:tabs>
      <w:ind w:hanging="1"/>
      <w:jc w:val="right"/>
      <w:rPr>
        <w:rFonts w:ascii="Lotus Linotype" w:hAnsi="Lotus Linotype" w:cs="Lotus Linotype"/>
        <w:b/>
        <w:rtl/>
      </w:rPr>
    </w:pPr>
    <w:r w:rsidRPr="00914FA7">
      <w:rPr>
        <w:rFonts w:ascii="Lotus Linotype" w:hAnsi="Lotus Linotype" w:cs="Lotus Linotype"/>
        <w:rtl/>
      </w:rPr>
      <w:t>المصـــادر والمراجــــــع</w:t>
    </w:r>
    <w:r>
      <w:rPr>
        <w:rFonts w:ascii="Lotus Linotype" w:hAnsi="Lotus Linotype" w:cs="Lotus Linotype" w:hint="cs"/>
        <w:rtl/>
      </w:rPr>
      <w:t xml:space="preserve">  </w:t>
    </w:r>
    <w:r w:rsidRPr="00BB1E12">
      <w:rPr>
        <w:rFonts w:hint="cs"/>
      </w:rPr>
      <w:sym w:font="Wingdings" w:char="F076"/>
    </w:r>
    <w:r w:rsidRPr="00BB1E12">
      <w:rPr>
        <w:rFonts w:hint="cs"/>
        <w:rtl/>
      </w:rPr>
      <w:t xml:space="preserve">   </w:t>
    </w: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00F63793">
      <w:rPr>
        <w:rStyle w:val="afffe"/>
        <w:rFonts w:ascii="Lotus Linotype" w:hAnsi="Lotus Linotype" w:cs="Lotus Linotype"/>
        <w:b/>
        <w:noProof/>
        <w:rtl/>
        <w:lang w:bidi="ar-IQ"/>
      </w:rPr>
      <w:t>163</w:t>
    </w:r>
    <w:r w:rsidRPr="00BB1E12">
      <w:rPr>
        <w:rStyle w:val="afffe"/>
        <w:rFonts w:ascii="Lotus Linotype" w:hAnsi="Lotus Linotype" w:cs="Lotus Linotype"/>
        <w:b/>
        <w:noProof/>
        <w:lang w:bidi="ar-IQ"/>
      </w:rPr>
      <w:fldChar w:fldCharType="end"/>
    </w:r>
  </w:p>
  <w:p w14:paraId="6954E3E3" w14:textId="7B7207B9" w:rsidR="008C0FB5" w:rsidRPr="005A1DB3" w:rsidRDefault="007C3C34" w:rsidP="0015004E">
    <w:pPr>
      <w:pStyle w:val="af9"/>
      <w:ind w:firstLine="0"/>
      <w:rPr>
        <w:lang w:bidi="ar-IQ"/>
      </w:rPr>
    </w:pPr>
    <w:r>
      <w:rPr>
        <w:rFonts w:ascii="Lotus Linotype" w:hAnsi="Lotus Linotype" w:cs="Lotus Linotype"/>
        <w:noProof/>
      </w:rPr>
      <mc:AlternateContent>
        <mc:Choice Requires="wps">
          <w:drawing>
            <wp:anchor distT="0" distB="0" distL="114300" distR="114300" simplePos="0" relativeHeight="251658240" behindDoc="0" locked="0" layoutInCell="1" allowOverlap="1" wp14:anchorId="25AC8DBC" wp14:editId="1669FF40">
              <wp:simplePos x="0" y="0"/>
              <wp:positionH relativeFrom="column">
                <wp:posOffset>635</wp:posOffset>
              </wp:positionH>
              <wp:positionV relativeFrom="paragraph">
                <wp:posOffset>55245</wp:posOffset>
              </wp:positionV>
              <wp:extent cx="2023110" cy="635"/>
              <wp:effectExtent l="10160" t="7620" r="5080" b="10795"/>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E3F52" id="_x0000_t32" coordsize="21600,21600" o:spt="32" o:oned="t" path="m,l21600,21600e" filled="f">
              <v:path arrowok="t" fillok="f" o:connecttype="none"/>
              <o:lock v:ext="edit" shapetype="t"/>
            </v:shapetype>
            <v:shape id="AutoShape 26" o:spid="_x0000_s1026" type="#_x0000_t32" style="position:absolute;left:0;text-align:left;margin-left:.05pt;margin-top:4.35pt;width:159.3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"/>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E9D9" w14:textId="77777777" w:rsidR="008C0FB5" w:rsidRPr="003D6CB2" w:rsidRDefault="008C0FB5" w:rsidP="0099696D">
    <w:pPr>
      <w:pStyle w:val="af9"/>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4FC0" w14:textId="77777777" w:rsidR="008C0FB5" w:rsidRPr="0028165B" w:rsidRDefault="008C0FB5" w:rsidP="0099696D">
    <w:pPr>
      <w:pStyle w:val="af9"/>
      <w:rPr>
        <w:rtl/>
      </w:rPr>
    </w:pPr>
    <w:r w:rsidRPr="0028165B">
      <w:rPr>
        <w:rFonts w:hint="cs"/>
        <w:rtl/>
      </w:rPr>
      <w:t xml:space="preserve">         </w:t>
    </w:r>
    <w:r w:rsidRPr="0028165B">
      <w:rPr>
        <w:rFonts w:hint="cs"/>
        <w:rt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FF39" w14:textId="77777777" w:rsidR="008C0FB5" w:rsidRPr="00004458" w:rsidRDefault="008C0FB5" w:rsidP="00155784">
    <w:pPr>
      <w:pStyle w:val="af9"/>
      <w:tabs>
        <w:tab w:val="left" w:pos="5700"/>
      </w:tabs>
      <w:spacing w:after="240"/>
      <w:ind w:right="360"/>
      <w:rPr>
        <w:rFonts w:ascii="Lotus Linotype" w:hAnsi="Lotus Linotype" w:cs="Times New Roman" w:hint="cs"/>
        <w:rtl/>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503C" w14:textId="77777777" w:rsidR="00F63793" w:rsidRPr="00BB1E12" w:rsidRDefault="00F63793" w:rsidP="00F63793">
    <w:pPr>
      <w:pStyle w:val="af9"/>
      <w:tabs>
        <w:tab w:val="right" w:leader="dot" w:pos="8504"/>
      </w:tabs>
      <w:ind w:hanging="1"/>
      <w:rPr>
        <w:rtl/>
      </w:rPr>
    </w:pP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Pr="00F63793">
      <w:rPr>
        <w:rStyle w:val="afffe"/>
        <w:rFonts w:ascii="Times New Roman" w:hAnsi="Times New Roman" w:cs="Times New Roman" w:hint="eastAsia"/>
        <w:b/>
        <w:noProof/>
        <w:rtl/>
        <w:lang w:bidi="ar-IQ"/>
      </w:rPr>
      <w:t>‌ل</w:t>
    </w:r>
    <w:r w:rsidRPr="00BB1E12">
      <w:rPr>
        <w:rStyle w:val="afffe"/>
        <w:rFonts w:ascii="Lotus Linotype" w:hAnsi="Lotus Linotype" w:cs="Lotus Linotype"/>
        <w:b/>
        <w:noProof/>
        <w:lang w:bidi="ar-IQ"/>
      </w:rPr>
      <w:fldChar w:fldCharType="end"/>
    </w:r>
    <w:r w:rsidRPr="00BB1E12">
      <w:rPr>
        <w:rFonts w:hint="cs"/>
        <w:rtl/>
      </w:rPr>
      <w:t xml:space="preserve">  </w:t>
    </w:r>
    <w:r w:rsidRPr="00BB1E12">
      <w:rPr>
        <w:rFonts w:hint="cs"/>
      </w:rPr>
      <w:t xml:space="preserve"> </w:t>
    </w:r>
    <w:r w:rsidRPr="00BB1E12">
      <w:rPr>
        <w:rFonts w:hint="cs"/>
      </w:rPr>
      <w:sym w:font="Wingdings" w:char="F076"/>
    </w:r>
    <w:r w:rsidRPr="00BB1E12">
      <w:rPr>
        <w:rFonts w:ascii="Lotus Linotype" w:hAnsi="Lotus Linotype" w:cs="Lotus Linotype"/>
        <w:rtl/>
      </w:rPr>
      <w:t>نظرية الباعث الدافع للتعاقد النظرية الذاتية للسبب</w:t>
    </w:r>
    <w:r w:rsidRPr="00BB1E12">
      <w:rPr>
        <w:rFonts w:ascii="Lotus Linotype" w:hAnsi="Lotus Linotype" w:cs="Lotus Linotype" w:hint="cs"/>
        <w:rtl/>
      </w:rPr>
      <w:t xml:space="preserve"> </w:t>
    </w:r>
  </w:p>
  <w:p w14:paraId="1B6FD4AE" w14:textId="07925848" w:rsidR="00F63793" w:rsidRPr="005A5C98" w:rsidRDefault="007C3C34" w:rsidP="00F63793">
    <w:pPr>
      <w:pStyle w:val="af9"/>
    </w:pPr>
    <w:r>
      <w:rPr>
        <w:rFonts w:ascii="Lotus Linotype" w:hAnsi="Lotus Linotype" w:cs="Lotus Linotype"/>
        <w:b/>
        <w:noProof/>
        <w:szCs w:val="24"/>
      </w:rPr>
      <mc:AlternateContent>
        <mc:Choice Requires="wps">
          <w:drawing>
            <wp:anchor distT="0" distB="0" distL="114300" distR="114300" simplePos="0" relativeHeight="251661312" behindDoc="0" locked="0" layoutInCell="1" allowOverlap="1" wp14:anchorId="66638121" wp14:editId="7F23481C">
              <wp:simplePos x="0" y="0"/>
              <wp:positionH relativeFrom="column">
                <wp:posOffset>2363470</wp:posOffset>
              </wp:positionH>
              <wp:positionV relativeFrom="paragraph">
                <wp:posOffset>43180</wp:posOffset>
              </wp:positionV>
              <wp:extent cx="3201670" cy="0"/>
              <wp:effectExtent l="6350" t="5715" r="11430" b="13335"/>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1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3FC660" id="_x0000_t32" coordsize="21600,21600" o:spt="32" o:oned="t" path="m,l21600,21600e" filled="f">
              <v:path arrowok="t" fillok="f" o:connecttype="none"/>
              <o:lock v:ext="edit" shapetype="t"/>
            </v:shapetype>
            <v:shape id="AutoShape 29" o:spid="_x0000_s1026" type="#_x0000_t32" style="position:absolute;left:0;text-align:left;margin-left:186.1pt;margin-top:3.4pt;width:252.1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1C85" w14:textId="77777777" w:rsidR="00F63793" w:rsidRPr="00BB1E12" w:rsidRDefault="00F63793" w:rsidP="00F63793">
    <w:pPr>
      <w:pStyle w:val="af9"/>
      <w:tabs>
        <w:tab w:val="clear" w:pos="4513"/>
        <w:tab w:val="right" w:leader="dot" w:pos="8504"/>
      </w:tabs>
      <w:ind w:hanging="1"/>
      <w:jc w:val="right"/>
      <w:rPr>
        <w:rFonts w:ascii="Lotus Linotype" w:hAnsi="Lotus Linotype" w:cs="Lotus Linotype"/>
        <w:b/>
        <w:rtl/>
      </w:rPr>
    </w:pPr>
    <w:r>
      <w:rPr>
        <w:rFonts w:ascii="Lotus Linotype" w:hAnsi="Lotus Linotype" w:cs="Lotus Linotype" w:hint="cs"/>
        <w:rtl/>
      </w:rPr>
      <w:t>المحتويات</w:t>
    </w:r>
    <w:r w:rsidRPr="00BB1E12">
      <w:rPr>
        <w:rFonts w:ascii="Lotus Linotype" w:hAnsi="Lotus Linotype" w:cs="Lotus Linotype" w:hint="cs"/>
        <w:rtl/>
      </w:rPr>
      <w:t xml:space="preserve">  </w:t>
    </w:r>
    <w:r w:rsidRPr="00BB1E12">
      <w:rPr>
        <w:rFonts w:hint="cs"/>
      </w:rPr>
      <w:sym w:font="Wingdings" w:char="F076"/>
    </w:r>
    <w:r w:rsidRPr="00BB1E12">
      <w:rPr>
        <w:rFonts w:hint="cs"/>
        <w:rtl/>
      </w:rPr>
      <w:t xml:space="preserve">   </w:t>
    </w: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Pr="00F63793">
      <w:rPr>
        <w:rStyle w:val="afffe"/>
        <w:rFonts w:ascii="Times New Roman" w:hAnsi="Times New Roman" w:cs="Times New Roman" w:hint="eastAsia"/>
        <w:b/>
        <w:noProof/>
        <w:rtl/>
        <w:lang w:bidi="ar-IQ"/>
      </w:rPr>
      <w:t>‌ك</w:t>
    </w:r>
    <w:r w:rsidRPr="00BB1E12">
      <w:rPr>
        <w:rStyle w:val="afffe"/>
        <w:rFonts w:ascii="Lotus Linotype" w:hAnsi="Lotus Linotype" w:cs="Lotus Linotype"/>
        <w:b/>
        <w:noProof/>
        <w:lang w:bidi="ar-IQ"/>
      </w:rPr>
      <w:fldChar w:fldCharType="end"/>
    </w:r>
  </w:p>
  <w:p w14:paraId="1941D67D" w14:textId="0395CBB0" w:rsidR="008C0FB5" w:rsidRPr="00F63793" w:rsidRDefault="007C3C34" w:rsidP="00F63793">
    <w:pPr>
      <w:pStyle w:val="af9"/>
      <w:ind w:firstLine="0"/>
      <w:rPr>
        <w:rFonts w:hint="cs"/>
        <w:rtl/>
        <w:lang w:bidi="ar-IQ"/>
      </w:rPr>
    </w:pPr>
    <w:r>
      <w:rPr>
        <w:rFonts w:ascii="Lotus Linotype" w:hAnsi="Lotus Linotype" w:cs="Lotus Linotype"/>
        <w:noProof/>
      </w:rPr>
      <mc:AlternateContent>
        <mc:Choice Requires="wps">
          <w:drawing>
            <wp:anchor distT="0" distB="0" distL="114300" distR="114300" simplePos="0" relativeHeight="251662336" behindDoc="0" locked="0" layoutInCell="1" allowOverlap="1" wp14:anchorId="125DCED2" wp14:editId="4DC116D5">
              <wp:simplePos x="0" y="0"/>
              <wp:positionH relativeFrom="column">
                <wp:posOffset>635</wp:posOffset>
              </wp:positionH>
              <wp:positionV relativeFrom="paragraph">
                <wp:posOffset>22860</wp:posOffset>
              </wp:positionV>
              <wp:extent cx="942340" cy="635"/>
              <wp:effectExtent l="5715" t="13970" r="13970" b="13970"/>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3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D2EA3" id="_x0000_t32" coordsize="21600,21600" o:spt="32" o:oned="t" path="m,l21600,21600e" filled="f">
              <v:path arrowok="t" fillok="f" o:connecttype="none"/>
              <o:lock v:ext="edit" shapetype="t"/>
            </v:shapetype>
            <v:shape id="AutoShape 30" o:spid="_x0000_s1026" type="#_x0000_t32" style="position:absolute;left:0;text-align:left;margin-left:.05pt;margin-top:1.8pt;width:74.2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FB94" w14:textId="77777777" w:rsidR="008C0FB5" w:rsidRPr="00004458" w:rsidRDefault="008C0FB5" w:rsidP="008B1880">
    <w:pPr>
      <w:pStyle w:val="af9"/>
      <w:tabs>
        <w:tab w:val="left" w:pos="5700"/>
      </w:tabs>
      <w:spacing w:after="240"/>
      <w:ind w:right="360"/>
      <w:rPr>
        <w:rFonts w:ascii="Lotus Linotype" w:hAnsi="Lotus Linotype" w:cs="Times New Roman" w:hint="cs"/>
        <w:rtl/>
        <w:lang w:bidi="ar-IQ"/>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953B" w14:textId="77777777" w:rsidR="008C0FB5" w:rsidRPr="00BB1E12" w:rsidRDefault="008C0FB5" w:rsidP="0092249A">
    <w:pPr>
      <w:pStyle w:val="af9"/>
      <w:tabs>
        <w:tab w:val="clear" w:pos="4513"/>
        <w:tab w:val="right" w:leader="dot" w:pos="8504"/>
      </w:tabs>
      <w:ind w:hanging="1"/>
      <w:jc w:val="right"/>
      <w:rPr>
        <w:rFonts w:ascii="Lotus Linotype" w:hAnsi="Lotus Linotype" w:cs="Lotus Linotype"/>
        <w:b/>
        <w:rtl/>
      </w:rPr>
    </w:pPr>
    <w:r>
      <w:rPr>
        <w:rFonts w:ascii="Lotus Linotype" w:hAnsi="Lotus Linotype" w:cs="Lotus Linotype" w:hint="cs"/>
        <w:rtl/>
      </w:rPr>
      <w:t xml:space="preserve">الفصل الأول: </w:t>
    </w:r>
    <w:r w:rsidRPr="0092249A">
      <w:rPr>
        <w:rFonts w:ascii="Lotus Linotype" w:hAnsi="Lotus Linotype" w:cs="Lotus Linotype"/>
        <w:rtl/>
      </w:rPr>
      <w:t>التعريف بنظرية الباعث وصلتها بغيرها من النظريات</w:t>
    </w:r>
    <w:r w:rsidRPr="00BB1E12">
      <w:rPr>
        <w:rFonts w:ascii="Lotus Linotype" w:hAnsi="Lotus Linotype" w:cs="Lotus Linotype" w:hint="cs"/>
        <w:rtl/>
      </w:rPr>
      <w:t xml:space="preserve">  </w:t>
    </w:r>
    <w:r w:rsidRPr="00BB1E12">
      <w:rPr>
        <w:rFonts w:hint="cs"/>
      </w:rPr>
      <w:sym w:font="Wingdings" w:char="F076"/>
    </w:r>
    <w:r w:rsidRPr="00BB1E12">
      <w:rPr>
        <w:rFonts w:hint="cs"/>
        <w:rtl/>
      </w:rPr>
      <w:t xml:space="preserve">   </w:t>
    </w: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Pr>
        <w:rStyle w:val="afffe"/>
        <w:rFonts w:ascii="Lotus Linotype" w:hAnsi="Lotus Linotype" w:cs="Lotus Linotype"/>
        <w:b/>
        <w:noProof/>
        <w:rtl/>
        <w:lang w:bidi="ar-IQ"/>
      </w:rPr>
      <w:t>3</w:t>
    </w:r>
    <w:r w:rsidRPr="00BB1E12">
      <w:rPr>
        <w:rStyle w:val="afffe"/>
        <w:rFonts w:ascii="Lotus Linotype" w:hAnsi="Lotus Linotype" w:cs="Lotus Linotype"/>
        <w:b/>
        <w:noProof/>
        <w:lang w:bidi="ar-IQ"/>
      </w:rPr>
      <w:fldChar w:fldCharType="end"/>
    </w:r>
  </w:p>
  <w:p w14:paraId="4BB8DF16" w14:textId="6521FEC3" w:rsidR="008C0FB5" w:rsidRPr="005A1DB3" w:rsidRDefault="007C3C34" w:rsidP="0015004E">
    <w:pPr>
      <w:pStyle w:val="af9"/>
      <w:ind w:firstLine="0"/>
      <w:rPr>
        <w:lang w:bidi="ar-IQ"/>
      </w:rPr>
    </w:pPr>
    <w:r>
      <w:rPr>
        <w:rFonts w:ascii="Lotus Linotype" w:hAnsi="Lotus Linotype" w:cs="Lotus Linotype"/>
        <w:noProof/>
      </w:rPr>
      <mc:AlternateContent>
        <mc:Choice Requires="wps">
          <w:drawing>
            <wp:anchor distT="0" distB="0" distL="114300" distR="114300" simplePos="0" relativeHeight="251654144" behindDoc="0" locked="0" layoutInCell="1" allowOverlap="1" wp14:anchorId="33D3FD1F" wp14:editId="281C6A2D">
              <wp:simplePos x="0" y="0"/>
              <wp:positionH relativeFrom="column">
                <wp:posOffset>635</wp:posOffset>
              </wp:positionH>
              <wp:positionV relativeFrom="paragraph">
                <wp:posOffset>22225</wp:posOffset>
              </wp:positionV>
              <wp:extent cx="3894455" cy="0"/>
              <wp:effectExtent l="10160" t="12700" r="10160" b="635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90A64" id="_x0000_t32" coordsize="21600,21600" o:spt="32" o:oned="t" path="m,l21600,21600e" filled="f">
              <v:path arrowok="t" fillok="f" o:connecttype="none"/>
              <o:lock v:ext="edit" shapetype="t"/>
            </v:shapetype>
            <v:shape id="AutoShape 21" o:spid="_x0000_s1026" type="#_x0000_t32" style="position:absolute;left:0;text-align:left;margin-left:.05pt;margin-top:1.75pt;width:306.65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0F24" w14:textId="77777777" w:rsidR="008C0FB5" w:rsidRPr="00BB1E12" w:rsidRDefault="008C0FB5" w:rsidP="00BB1E12">
    <w:pPr>
      <w:pStyle w:val="af9"/>
      <w:tabs>
        <w:tab w:val="right" w:leader="dot" w:pos="8504"/>
      </w:tabs>
      <w:ind w:hanging="1"/>
      <w:rPr>
        <w:rtl/>
      </w:rPr>
    </w:pP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00F63793">
      <w:rPr>
        <w:rStyle w:val="afffe"/>
        <w:rFonts w:ascii="Lotus Linotype" w:hAnsi="Lotus Linotype" w:cs="Lotus Linotype"/>
        <w:b/>
        <w:noProof/>
        <w:rtl/>
        <w:lang w:bidi="ar-IQ"/>
      </w:rPr>
      <w:t>4</w:t>
    </w:r>
    <w:r w:rsidRPr="00BB1E12">
      <w:rPr>
        <w:rStyle w:val="afffe"/>
        <w:rFonts w:ascii="Lotus Linotype" w:hAnsi="Lotus Linotype" w:cs="Lotus Linotype"/>
        <w:b/>
        <w:noProof/>
        <w:lang w:bidi="ar-IQ"/>
      </w:rPr>
      <w:fldChar w:fldCharType="end"/>
    </w:r>
    <w:r w:rsidRPr="00BB1E12">
      <w:rPr>
        <w:rFonts w:hint="cs"/>
        <w:rtl/>
      </w:rPr>
      <w:t xml:space="preserve">  </w:t>
    </w:r>
    <w:r w:rsidRPr="00BB1E12">
      <w:rPr>
        <w:rFonts w:hint="cs"/>
      </w:rPr>
      <w:t xml:space="preserve"> </w:t>
    </w:r>
    <w:r w:rsidRPr="00BB1E12">
      <w:rPr>
        <w:rFonts w:hint="cs"/>
      </w:rPr>
      <w:sym w:font="Wingdings" w:char="F076"/>
    </w:r>
    <w:r w:rsidRPr="00BB1E12">
      <w:rPr>
        <w:rFonts w:ascii="Lotus Linotype" w:hAnsi="Lotus Linotype" w:cs="Lotus Linotype"/>
        <w:rtl/>
      </w:rPr>
      <w:t>نظرية الباعث الدافع للتعاقد النظرية الذاتية للسبب</w:t>
    </w:r>
    <w:r w:rsidRPr="00BB1E12">
      <w:rPr>
        <w:rFonts w:ascii="Lotus Linotype" w:hAnsi="Lotus Linotype" w:cs="Lotus Linotype" w:hint="cs"/>
        <w:rtl/>
      </w:rPr>
      <w:t xml:space="preserve"> </w:t>
    </w:r>
  </w:p>
  <w:p w14:paraId="00BB99A5" w14:textId="63913025" w:rsidR="008C0FB5" w:rsidRPr="005A5C98" w:rsidRDefault="007C3C34" w:rsidP="005A5C98">
    <w:pPr>
      <w:pStyle w:val="af9"/>
    </w:pPr>
    <w:r>
      <w:rPr>
        <w:rFonts w:ascii="Lotus Linotype" w:hAnsi="Lotus Linotype" w:cs="Lotus Linotype"/>
        <w:b/>
        <w:noProof/>
        <w:szCs w:val="24"/>
      </w:rPr>
      <mc:AlternateContent>
        <mc:Choice Requires="wps">
          <w:drawing>
            <wp:anchor distT="0" distB="0" distL="114300" distR="114300" simplePos="0" relativeHeight="251653120" behindDoc="0" locked="0" layoutInCell="1" allowOverlap="1" wp14:anchorId="66A255E4" wp14:editId="7A56809E">
              <wp:simplePos x="0" y="0"/>
              <wp:positionH relativeFrom="column">
                <wp:posOffset>2630170</wp:posOffset>
              </wp:positionH>
              <wp:positionV relativeFrom="paragraph">
                <wp:posOffset>43180</wp:posOffset>
              </wp:positionV>
              <wp:extent cx="2956560" cy="0"/>
              <wp:effectExtent l="6350" t="5080" r="8890" b="1397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5536E" id="_x0000_t32" coordsize="21600,21600" o:spt="32" o:oned="t" path="m,l21600,21600e" filled="f">
              <v:path arrowok="t" fillok="f" o:connecttype="none"/>
              <o:lock v:ext="edit" shapetype="t"/>
            </v:shapetype>
            <v:shape id="AutoShape 20" o:spid="_x0000_s1026" type="#_x0000_t32" style="position:absolute;left:0;text-align:left;margin-left:207.1pt;margin-top:3.4pt;width:232.8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&#1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4B8D0" w14:textId="77777777" w:rsidR="008C0FB5" w:rsidRPr="00BB1E12" w:rsidRDefault="008C0FB5" w:rsidP="00A613BA">
    <w:pPr>
      <w:pStyle w:val="af9"/>
      <w:tabs>
        <w:tab w:val="clear" w:pos="4513"/>
        <w:tab w:val="right" w:leader="dot" w:pos="8504"/>
      </w:tabs>
      <w:ind w:hanging="1"/>
      <w:jc w:val="right"/>
      <w:rPr>
        <w:rFonts w:ascii="Lotus Linotype" w:hAnsi="Lotus Linotype" w:cs="Lotus Linotype"/>
        <w:b/>
        <w:rtl/>
      </w:rPr>
    </w:pPr>
    <w:r>
      <w:rPr>
        <w:rFonts w:ascii="Lotus Linotype" w:hAnsi="Lotus Linotype" w:cs="Lotus Linotype" w:hint="cs"/>
        <w:rtl/>
      </w:rPr>
      <w:t>المقدمة</w:t>
    </w:r>
    <w:r w:rsidRPr="00BB1E12">
      <w:rPr>
        <w:rFonts w:ascii="Lotus Linotype" w:hAnsi="Lotus Linotype" w:cs="Lotus Linotype" w:hint="cs"/>
        <w:rtl/>
      </w:rPr>
      <w:t xml:space="preserve">  </w:t>
    </w:r>
    <w:r w:rsidRPr="00BB1E12">
      <w:rPr>
        <w:rFonts w:hint="cs"/>
      </w:rPr>
      <w:sym w:font="Wingdings" w:char="F076"/>
    </w:r>
    <w:r w:rsidRPr="00BB1E12">
      <w:rPr>
        <w:rFonts w:hint="cs"/>
        <w:rtl/>
      </w:rPr>
      <w:t xml:space="preserve">   </w:t>
    </w: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00F63793">
      <w:rPr>
        <w:rStyle w:val="afffe"/>
        <w:rFonts w:ascii="Lotus Linotype" w:hAnsi="Lotus Linotype" w:cs="Lotus Linotype"/>
        <w:b/>
        <w:noProof/>
        <w:rtl/>
        <w:lang w:bidi="ar-IQ"/>
      </w:rPr>
      <w:t>45</w:t>
    </w:r>
    <w:r w:rsidRPr="00BB1E12">
      <w:rPr>
        <w:rStyle w:val="afffe"/>
        <w:rFonts w:ascii="Lotus Linotype" w:hAnsi="Lotus Linotype" w:cs="Lotus Linotype"/>
        <w:b/>
        <w:noProof/>
        <w:lang w:bidi="ar-IQ"/>
      </w:rPr>
      <w:fldChar w:fldCharType="end"/>
    </w:r>
  </w:p>
  <w:p w14:paraId="78F2D6F4" w14:textId="7C987E16" w:rsidR="008C0FB5" w:rsidRPr="005A1DB3" w:rsidRDefault="007C3C34" w:rsidP="0015004E">
    <w:pPr>
      <w:pStyle w:val="af9"/>
      <w:ind w:firstLine="0"/>
      <w:rPr>
        <w:lang w:bidi="ar-IQ"/>
      </w:rPr>
    </w:pPr>
    <w:r>
      <w:rPr>
        <w:rFonts w:ascii="Lotus Linotype" w:hAnsi="Lotus Linotype" w:cs="Lotus Linotype"/>
        <w:noProof/>
      </w:rPr>
      <mc:AlternateContent>
        <mc:Choice Requires="wps">
          <w:drawing>
            <wp:anchor distT="0" distB="0" distL="114300" distR="114300" simplePos="0" relativeHeight="251660288" behindDoc="0" locked="0" layoutInCell="1" allowOverlap="1" wp14:anchorId="7CC5FE8A" wp14:editId="06657079">
              <wp:simplePos x="0" y="0"/>
              <wp:positionH relativeFrom="column">
                <wp:posOffset>635</wp:posOffset>
              </wp:positionH>
              <wp:positionV relativeFrom="paragraph">
                <wp:posOffset>22860</wp:posOffset>
              </wp:positionV>
              <wp:extent cx="789940" cy="0"/>
              <wp:effectExtent l="5715" t="10795" r="13970" b="8255"/>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9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B36B99" id="_x0000_t32" coordsize="21600,21600" o:spt="32" o:oned="t" path="m,l21600,21600e" filled="f">
              <v:path arrowok="t" fillok="f" o:connecttype="none"/>
              <o:lock v:ext="edit" shapetype="t"/>
            </v:shapetype>
            <v:shape id="AutoShape 28" o:spid="_x0000_s1026" type="#_x0000_t32" style="position:absolute;left:0;text-align:left;margin-left:.05pt;margin-top:1.8pt;width:62.2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&#1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DB26" w14:textId="77777777" w:rsidR="008C0FB5" w:rsidRPr="00BB1E12" w:rsidRDefault="008C0FB5" w:rsidP="0092249A">
    <w:pPr>
      <w:pStyle w:val="af9"/>
      <w:tabs>
        <w:tab w:val="right" w:leader="dot" w:pos="8504"/>
      </w:tabs>
      <w:ind w:hanging="1"/>
      <w:rPr>
        <w:rtl/>
      </w:rPr>
    </w:pPr>
    <w:r w:rsidRPr="00BB1E12">
      <w:rPr>
        <w:rStyle w:val="afffe"/>
        <w:rFonts w:ascii="Lotus Linotype" w:hAnsi="Lotus Linotype" w:cs="Lotus Linotype"/>
        <w:b/>
        <w:noProof/>
        <w:lang w:bidi="ar-IQ"/>
      </w:rPr>
      <w:fldChar w:fldCharType="begin"/>
    </w:r>
    <w:r w:rsidRPr="00BB1E12">
      <w:rPr>
        <w:rStyle w:val="afffe"/>
        <w:rFonts w:ascii="Lotus Linotype" w:hAnsi="Lotus Linotype" w:cs="Lotus Linotype"/>
        <w:b/>
        <w:noProof/>
        <w:lang w:bidi="ar-IQ"/>
      </w:rPr>
      <w:instrText xml:space="preserve"> PAGE   \* MERGEFORMAT </w:instrText>
    </w:r>
    <w:r w:rsidRPr="00BB1E12">
      <w:rPr>
        <w:rStyle w:val="afffe"/>
        <w:rFonts w:ascii="Lotus Linotype" w:hAnsi="Lotus Linotype" w:cs="Lotus Linotype"/>
        <w:b/>
        <w:noProof/>
        <w:lang w:bidi="ar-IQ"/>
      </w:rPr>
      <w:fldChar w:fldCharType="separate"/>
    </w:r>
    <w:r w:rsidR="00F63793">
      <w:rPr>
        <w:rStyle w:val="afffe"/>
        <w:rFonts w:ascii="Lotus Linotype" w:hAnsi="Lotus Linotype" w:cs="Lotus Linotype"/>
        <w:b/>
        <w:noProof/>
        <w:rtl/>
        <w:lang w:bidi="ar-IQ"/>
      </w:rPr>
      <w:t>164</w:t>
    </w:r>
    <w:r w:rsidRPr="00BB1E12">
      <w:rPr>
        <w:rStyle w:val="afffe"/>
        <w:rFonts w:ascii="Lotus Linotype" w:hAnsi="Lotus Linotype" w:cs="Lotus Linotype"/>
        <w:b/>
        <w:noProof/>
        <w:lang w:bidi="ar-IQ"/>
      </w:rPr>
      <w:fldChar w:fldCharType="end"/>
    </w:r>
    <w:r w:rsidRPr="00BB1E12">
      <w:rPr>
        <w:rFonts w:hint="cs"/>
        <w:rtl/>
      </w:rPr>
      <w:t xml:space="preserve">  </w:t>
    </w:r>
    <w:r w:rsidRPr="00BB1E12">
      <w:rPr>
        <w:rFonts w:hint="cs"/>
      </w:rPr>
      <w:t xml:space="preserve"> </w:t>
    </w:r>
    <w:r w:rsidRPr="00BB1E12">
      <w:rPr>
        <w:rFonts w:hint="cs"/>
      </w:rPr>
      <w:sym w:font="Wingdings" w:char="F076"/>
    </w:r>
    <w:r w:rsidRPr="00BB1E12">
      <w:rPr>
        <w:rFonts w:ascii="Lotus Linotype" w:hAnsi="Lotus Linotype" w:cs="Lotus Linotype"/>
        <w:rtl/>
      </w:rPr>
      <w:t>نظرية الباعث الدافع للتعاقد النظرية الذاتية للسبب</w:t>
    </w:r>
    <w:r w:rsidRPr="00BB1E12">
      <w:rPr>
        <w:rFonts w:ascii="Lotus Linotype" w:hAnsi="Lotus Linotype" w:cs="Lotus Linotype" w:hint="cs"/>
        <w:rtl/>
      </w:rPr>
      <w:t xml:space="preserve"> </w:t>
    </w:r>
  </w:p>
  <w:p w14:paraId="2426152D" w14:textId="668E4E8A" w:rsidR="008C0FB5" w:rsidRPr="005A5C98" w:rsidRDefault="007C3C34" w:rsidP="0092249A">
    <w:pPr>
      <w:pStyle w:val="af9"/>
    </w:pPr>
    <w:r>
      <w:rPr>
        <w:rFonts w:ascii="Lotus Linotype" w:hAnsi="Lotus Linotype" w:cs="Lotus Linotype"/>
        <w:b/>
        <w:noProof/>
        <w:szCs w:val="24"/>
      </w:rPr>
      <mc:AlternateContent>
        <mc:Choice Requires="wps">
          <w:drawing>
            <wp:anchor distT="0" distB="0" distL="114300" distR="114300" simplePos="0" relativeHeight="251655168" behindDoc="0" locked="0" layoutInCell="1" allowOverlap="1" wp14:anchorId="52C2F7DB" wp14:editId="1A70703B">
              <wp:simplePos x="0" y="0"/>
              <wp:positionH relativeFrom="column">
                <wp:posOffset>2363470</wp:posOffset>
              </wp:positionH>
              <wp:positionV relativeFrom="paragraph">
                <wp:posOffset>43180</wp:posOffset>
              </wp:positionV>
              <wp:extent cx="3201670" cy="0"/>
              <wp:effectExtent l="6350" t="12065" r="11430" b="698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1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318BE" id="_x0000_t32" coordsize="21600,21600" o:spt="32" o:oned="t" path="m,l21600,21600e" filled="f">
              <v:path arrowok="t" fillok="f" o:connecttype="none"/>
              <o:lock v:ext="edit" shapetype="t"/>
            </v:shapetype>
            <v:shape id="AutoShape 23" o:spid="_x0000_s1026" type="#_x0000_t32" style="position:absolute;left:0;text-align:left;margin-left:186.1pt;margin-top:3.4pt;width:252.1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A24E08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C5D52"/>
    <w:multiLevelType w:val="hybridMultilevel"/>
    <w:tmpl w:val="9E7A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909E5"/>
    <w:multiLevelType w:val="hybridMultilevel"/>
    <w:tmpl w:val="7BD07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C4638"/>
    <w:multiLevelType w:val="hybridMultilevel"/>
    <w:tmpl w:val="22FEB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0C69"/>
    <w:multiLevelType w:val="hybridMultilevel"/>
    <w:tmpl w:val="AF0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A74FC"/>
    <w:multiLevelType w:val="hybridMultilevel"/>
    <w:tmpl w:val="67C68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A766D"/>
    <w:multiLevelType w:val="hybridMultilevel"/>
    <w:tmpl w:val="8AE85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E578C"/>
    <w:multiLevelType w:val="hybridMultilevel"/>
    <w:tmpl w:val="DFA0B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7146DB"/>
    <w:multiLevelType w:val="hybridMultilevel"/>
    <w:tmpl w:val="1D5EF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45508"/>
    <w:multiLevelType w:val="hybridMultilevel"/>
    <w:tmpl w:val="CD7ED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503F44"/>
    <w:multiLevelType w:val="hybridMultilevel"/>
    <w:tmpl w:val="CE8E9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AC7681"/>
    <w:multiLevelType w:val="hybridMultilevel"/>
    <w:tmpl w:val="050E4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E7DBA"/>
    <w:multiLevelType w:val="hybridMultilevel"/>
    <w:tmpl w:val="17929D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C241F"/>
    <w:multiLevelType w:val="multilevel"/>
    <w:tmpl w:val="5ADAF032"/>
    <w:lvl w:ilvl="0">
      <w:start w:val="1"/>
      <w:numFmt w:val="decimal"/>
      <w:suff w:val="space"/>
      <w:lvlText w:val="%1-"/>
      <w:lvlJc w:val="left"/>
      <w:pPr>
        <w:ind w:left="0" w:firstLine="0"/>
      </w:pPr>
      <w:rPr>
        <w:rFonts w:hint="default"/>
      </w:rPr>
    </w:lvl>
    <w:lvl w:ilvl="1">
      <w:start w:val="1"/>
      <w:numFmt w:val="decimal"/>
      <w:pStyle w:val="a0"/>
      <w:suff w:val="space"/>
      <w:lvlText w:val="%1-%2-"/>
      <w:lvlJc w:val="left"/>
      <w:rPr>
        <w:rFonts w:ascii="Times New Roman" w:hAnsi="Times New Roman"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a1"/>
      <w:suff w:val="space"/>
      <w:lvlText w:val="%1-%2-%3-"/>
      <w:lvlJc w:val="left"/>
      <w:rPr>
        <w:rFonts w:ascii="Times New Roman" w:hAnsi="Times New Roman" w:hint="default"/>
        <w:bCs w:val="0"/>
        <w:i w:val="0"/>
        <w:iCs w:val="0"/>
        <w:caps w:val="0"/>
        <w:smallCaps w:val="0"/>
        <w:strike w:val="0"/>
        <w:dstrike w:val="0"/>
        <w:vanish w:val="0"/>
        <w:spacing w:val="0"/>
        <w:kern w:val="0"/>
        <w:position w:val="0"/>
        <w:u w:val="none"/>
        <w:effect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AE08DC"/>
    <w:multiLevelType w:val="hybridMultilevel"/>
    <w:tmpl w:val="10DE8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1B5850"/>
    <w:multiLevelType w:val="hybridMultilevel"/>
    <w:tmpl w:val="815659A6"/>
    <w:lvl w:ilvl="0" w:tplc="0409000F">
      <w:start w:val="1"/>
      <w:numFmt w:val="decimal"/>
      <w:lvlText w:val="%1."/>
      <w:lvlJc w:val="left"/>
      <w:pPr>
        <w:ind w:left="720" w:hanging="360"/>
      </w:pPr>
    </w:lvl>
    <w:lvl w:ilvl="1" w:tplc="676AB7A0">
      <w:numFmt w:val="bullet"/>
      <w:lvlText w:val="-"/>
      <w:lvlJc w:val="left"/>
      <w:pPr>
        <w:ind w:left="1440" w:hanging="360"/>
      </w:pPr>
      <w:rPr>
        <w:rFonts w:ascii="Lotus Linotype" w:eastAsia="Calibri" w:hAnsi="Lotus Linotype" w:cs="Lotus Linotype"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462C61"/>
    <w:multiLevelType w:val="hybridMultilevel"/>
    <w:tmpl w:val="6E504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C00CAE"/>
    <w:multiLevelType w:val="hybridMultilevel"/>
    <w:tmpl w:val="5E46F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8E5A26"/>
    <w:multiLevelType w:val="hybridMultilevel"/>
    <w:tmpl w:val="7D04A1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F48A5"/>
    <w:multiLevelType w:val="hybridMultilevel"/>
    <w:tmpl w:val="60D64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512454"/>
    <w:multiLevelType w:val="hybridMultilevel"/>
    <w:tmpl w:val="A54C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787638"/>
    <w:multiLevelType w:val="hybridMultilevel"/>
    <w:tmpl w:val="82544104"/>
    <w:lvl w:ilvl="0" w:tplc="BB44B5DE">
      <w:start w:val="1"/>
      <w:numFmt w:val="decimal"/>
      <w:lvlText w:val="%1-"/>
      <w:lvlJc w:val="left"/>
      <w:pPr>
        <w:ind w:left="720" w:hanging="360"/>
      </w:pPr>
      <w:rPr>
        <w:rFonts w:hint="default"/>
      </w:rPr>
    </w:lvl>
    <w:lvl w:ilvl="1" w:tplc="AF7241B6">
      <w:start w:val="1"/>
      <w:numFmt w:val="decimal"/>
      <w:lvlText w:val="%2."/>
      <w:lvlJc w:val="left"/>
      <w:pPr>
        <w:ind w:left="1440" w:hanging="360"/>
      </w:pPr>
      <w:rPr>
        <w:rFonts w:hint="default"/>
        <w:sz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865214"/>
    <w:multiLevelType w:val="hybridMultilevel"/>
    <w:tmpl w:val="FE826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827D2D"/>
    <w:multiLevelType w:val="hybridMultilevel"/>
    <w:tmpl w:val="1AD49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98557B"/>
    <w:multiLevelType w:val="hybridMultilevel"/>
    <w:tmpl w:val="9692C62E"/>
    <w:lvl w:ilvl="0" w:tplc="BB44B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A6558C"/>
    <w:multiLevelType w:val="hybridMultilevel"/>
    <w:tmpl w:val="56AC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647EFD"/>
    <w:multiLevelType w:val="hybridMultilevel"/>
    <w:tmpl w:val="1E00253A"/>
    <w:lvl w:ilvl="0" w:tplc="BB44B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DC7ED0"/>
    <w:multiLevelType w:val="hybridMultilevel"/>
    <w:tmpl w:val="84ECC7AC"/>
    <w:lvl w:ilvl="0" w:tplc="D946DCA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3272708C"/>
    <w:multiLevelType w:val="hybridMultilevel"/>
    <w:tmpl w:val="D144C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B17D9A"/>
    <w:multiLevelType w:val="multilevel"/>
    <w:tmpl w:val="E280FD3C"/>
    <w:lvl w:ilvl="0">
      <w:start w:val="1"/>
      <w:numFmt w:val="decimal"/>
      <w:lvlText w:val="%1-"/>
      <w:lvlJc w:val="left"/>
      <w:pPr>
        <w:ind w:left="600" w:hanging="60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1134" w:hanging="113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30A3804"/>
    <w:multiLevelType w:val="hybridMultilevel"/>
    <w:tmpl w:val="6694D930"/>
    <w:lvl w:ilvl="0" w:tplc="0376261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869527F"/>
    <w:multiLevelType w:val="hybridMultilevel"/>
    <w:tmpl w:val="2D568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007490"/>
    <w:multiLevelType w:val="multilevel"/>
    <w:tmpl w:val="D298BA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6"/>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D9A6EAC"/>
    <w:multiLevelType w:val="hybridMultilevel"/>
    <w:tmpl w:val="2D568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675FA9"/>
    <w:multiLevelType w:val="hybridMultilevel"/>
    <w:tmpl w:val="1E84337A"/>
    <w:lvl w:ilvl="0" w:tplc="46C2D726">
      <w:numFmt w:val="decimal"/>
      <w:lvlText w:val=""/>
      <w:lvlJc w:val="left"/>
    </w:lvl>
    <w:lvl w:ilvl="1" w:tplc="04090019">
      <w:numFmt w:val="decimal"/>
      <w:lvlText w:val=""/>
      <w:lvlJc w:val="left"/>
    </w:lvl>
    <w:lvl w:ilvl="2" w:tplc="0409001B">
      <w:numFmt w:val="decimal"/>
      <w:pStyle w:val="Style5"/>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5" w15:restartNumberingAfterBreak="0">
    <w:nsid w:val="49D9558D"/>
    <w:multiLevelType w:val="hybridMultilevel"/>
    <w:tmpl w:val="2D568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C77342"/>
    <w:multiLevelType w:val="hybridMultilevel"/>
    <w:tmpl w:val="E7764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A04E3A"/>
    <w:multiLevelType w:val="hybridMultilevel"/>
    <w:tmpl w:val="8AE85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405F74"/>
    <w:multiLevelType w:val="hybridMultilevel"/>
    <w:tmpl w:val="55306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0378AC"/>
    <w:multiLevelType w:val="hybridMultilevel"/>
    <w:tmpl w:val="86AA9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FC1AAA"/>
    <w:multiLevelType w:val="hybridMultilevel"/>
    <w:tmpl w:val="61300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02724C"/>
    <w:multiLevelType w:val="hybridMultilevel"/>
    <w:tmpl w:val="51D83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6D7FED"/>
    <w:multiLevelType w:val="hybridMultilevel"/>
    <w:tmpl w:val="1C74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6A147A"/>
    <w:multiLevelType w:val="hybridMultilevel"/>
    <w:tmpl w:val="604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91FAA"/>
    <w:multiLevelType w:val="hybridMultilevel"/>
    <w:tmpl w:val="084EF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35047F"/>
    <w:multiLevelType w:val="hybridMultilevel"/>
    <w:tmpl w:val="4B0C8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A8143C"/>
    <w:multiLevelType w:val="hybridMultilevel"/>
    <w:tmpl w:val="CED8CCF2"/>
    <w:lvl w:ilvl="0" w:tplc="952E8996">
      <w:numFmt w:val="decimal"/>
      <w:lvlText w:val=""/>
      <w:lvlJc w:val="left"/>
    </w:lvl>
    <w:lvl w:ilvl="1" w:tplc="04090019">
      <w:numFmt w:val="decimal"/>
      <w:lvlText w:val=""/>
      <w:lvlJc w:val="left"/>
    </w:lvl>
    <w:lvl w:ilvl="2" w:tplc="0409001B">
      <w:numFmt w:val="decimal"/>
      <w:lvlText w:val=""/>
      <w:lvlJc w:val="left"/>
    </w:lvl>
    <w:lvl w:ilvl="3" w:tplc="FC362CA2">
      <w:numFmt w:val="decimal"/>
      <w:pStyle w:val="a2"/>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7" w15:restartNumberingAfterBreak="0">
    <w:nsid w:val="7D5922C2"/>
    <w:multiLevelType w:val="hybridMultilevel"/>
    <w:tmpl w:val="2F3EB22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D23E75"/>
    <w:multiLevelType w:val="hybridMultilevel"/>
    <w:tmpl w:val="AE44F372"/>
    <w:lvl w:ilvl="0" w:tplc="BB44B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6"/>
  </w:num>
  <w:num w:numId="3">
    <w:abstractNumId w:val="34"/>
  </w:num>
  <w:num w:numId="4">
    <w:abstractNumId w:val="32"/>
  </w:num>
  <w:num w:numId="5">
    <w:abstractNumId w:val="13"/>
  </w:num>
  <w:num w:numId="6">
    <w:abstractNumId w:val="2"/>
  </w:num>
  <w:num w:numId="7">
    <w:abstractNumId w:val="3"/>
  </w:num>
  <w:num w:numId="8">
    <w:abstractNumId w:val="39"/>
  </w:num>
  <w:num w:numId="9">
    <w:abstractNumId w:val="30"/>
  </w:num>
  <w:num w:numId="10">
    <w:abstractNumId w:val="21"/>
  </w:num>
  <w:num w:numId="11">
    <w:abstractNumId w:val="26"/>
  </w:num>
  <w:num w:numId="12">
    <w:abstractNumId w:val="48"/>
  </w:num>
  <w:num w:numId="13">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24"/>
  </w:num>
  <w:num w:numId="15">
    <w:abstractNumId w:val="29"/>
  </w:num>
  <w:num w:numId="16">
    <w:abstractNumId w:val="27"/>
  </w:num>
  <w:num w:numId="17">
    <w:abstractNumId w:val="1"/>
  </w:num>
  <w:num w:numId="18">
    <w:abstractNumId w:val="38"/>
  </w:num>
  <w:num w:numId="19">
    <w:abstractNumId w:val="41"/>
  </w:num>
  <w:num w:numId="20">
    <w:abstractNumId w:val="10"/>
  </w:num>
  <w:num w:numId="21">
    <w:abstractNumId w:val="42"/>
  </w:num>
  <w:num w:numId="22">
    <w:abstractNumId w:val="36"/>
  </w:num>
  <w:num w:numId="23">
    <w:abstractNumId w:val="11"/>
  </w:num>
  <w:num w:numId="24">
    <w:abstractNumId w:val="40"/>
  </w:num>
  <w:num w:numId="25">
    <w:abstractNumId w:val="5"/>
  </w:num>
  <w:num w:numId="26">
    <w:abstractNumId w:val="8"/>
  </w:num>
  <w:num w:numId="27">
    <w:abstractNumId w:val="45"/>
  </w:num>
  <w:num w:numId="28">
    <w:abstractNumId w:val="22"/>
  </w:num>
  <w:num w:numId="29">
    <w:abstractNumId w:val="6"/>
  </w:num>
  <w:num w:numId="30">
    <w:abstractNumId w:val="37"/>
  </w:num>
  <w:num w:numId="31">
    <w:abstractNumId w:val="4"/>
  </w:num>
  <w:num w:numId="32">
    <w:abstractNumId w:val="23"/>
  </w:num>
  <w:num w:numId="33">
    <w:abstractNumId w:val="43"/>
  </w:num>
  <w:num w:numId="34">
    <w:abstractNumId w:val="28"/>
  </w:num>
  <w:num w:numId="35">
    <w:abstractNumId w:val="17"/>
  </w:num>
  <w:num w:numId="36">
    <w:abstractNumId w:val="15"/>
  </w:num>
  <w:num w:numId="37">
    <w:abstractNumId w:val="33"/>
  </w:num>
  <w:num w:numId="38">
    <w:abstractNumId w:val="35"/>
  </w:num>
  <w:num w:numId="39">
    <w:abstractNumId w:val="31"/>
  </w:num>
  <w:num w:numId="40">
    <w:abstractNumId w:val="18"/>
  </w:num>
  <w:num w:numId="41">
    <w:abstractNumId w:val="9"/>
  </w:num>
  <w:num w:numId="42">
    <w:abstractNumId w:val="16"/>
  </w:num>
  <w:num w:numId="43">
    <w:abstractNumId w:val="19"/>
  </w:num>
  <w:num w:numId="44">
    <w:abstractNumId w:val="47"/>
  </w:num>
  <w:num w:numId="45">
    <w:abstractNumId w:val="14"/>
  </w:num>
  <w:num w:numId="46">
    <w:abstractNumId w:val="44"/>
  </w:num>
  <w:num w:numId="47">
    <w:abstractNumId w:val="7"/>
  </w:num>
  <w:num w:numId="48">
    <w:abstractNumId w:val="12"/>
  </w:num>
  <w:num w:numId="49">
    <w:abstractNumId w:val="20"/>
  </w:num>
  <w:num w:numId="50">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hideSpellingErrors/>
  <w:hideGrammaticalErrors/>
  <w:proofState w:spelling="clean" w:grammar="clean"/>
  <w:defaultTabStop w:val="720"/>
  <w:evenAndOddHeaders/>
  <w:characterSpacingControl w:val="doNotCompress"/>
  <w:hdrShapeDefaults>
    <o:shapedefaults v:ext="edit" spidmax="3074"/>
    <o:shapelayout v:ext="edit">
      <o:rules v:ext="edit">
        <o:r id="V:Rule1" type="connector" idref="#_x0000_s1044"/>
        <o:r id="V:Rule2" type="connector" idref="#_x0000_s1045"/>
        <o:r id="V:Rule3" type="connector" idref="#_x0000_s1047"/>
        <o:r id="V:Rule4" type="connector" idref="#_x0000_s1048"/>
        <o:r id="V:Rule5" type="connector" idref="#_x0000_s1049"/>
        <o:r id="V:Rule6" type="connector" idref="#_x0000_s1050"/>
        <o:r id="V:Rule7" type="connector" idref="#_x0000_s1051"/>
        <o:r id="V:Rule8" type="connector" idref="#_x0000_s1052"/>
        <o:r id="V:Rule9" type="connector" idref="#_x0000_s1053"/>
        <o:r id="V:Rule10" type="connector" idref="#_x0000_s1054"/>
      </o:rules>
    </o:shapelayout>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DEA"/>
    <w:rsid w:val="00000328"/>
    <w:rsid w:val="00002187"/>
    <w:rsid w:val="00004A13"/>
    <w:rsid w:val="00004A4B"/>
    <w:rsid w:val="00004B9E"/>
    <w:rsid w:val="000058F1"/>
    <w:rsid w:val="000062FF"/>
    <w:rsid w:val="00007798"/>
    <w:rsid w:val="00010402"/>
    <w:rsid w:val="00011CEB"/>
    <w:rsid w:val="000146AA"/>
    <w:rsid w:val="00014CAD"/>
    <w:rsid w:val="00016179"/>
    <w:rsid w:val="0001680E"/>
    <w:rsid w:val="000168C4"/>
    <w:rsid w:val="00016F64"/>
    <w:rsid w:val="000178E8"/>
    <w:rsid w:val="00020ECD"/>
    <w:rsid w:val="0002134B"/>
    <w:rsid w:val="00024446"/>
    <w:rsid w:val="00025346"/>
    <w:rsid w:val="00025A48"/>
    <w:rsid w:val="000263A7"/>
    <w:rsid w:val="000275A0"/>
    <w:rsid w:val="000275A9"/>
    <w:rsid w:val="000311BF"/>
    <w:rsid w:val="0003223D"/>
    <w:rsid w:val="00032ECC"/>
    <w:rsid w:val="0003319E"/>
    <w:rsid w:val="0003741D"/>
    <w:rsid w:val="000411D6"/>
    <w:rsid w:val="00043561"/>
    <w:rsid w:val="00043B30"/>
    <w:rsid w:val="00043ECF"/>
    <w:rsid w:val="00045697"/>
    <w:rsid w:val="0004600B"/>
    <w:rsid w:val="00046FE2"/>
    <w:rsid w:val="00047F04"/>
    <w:rsid w:val="0005008A"/>
    <w:rsid w:val="00051B42"/>
    <w:rsid w:val="00052536"/>
    <w:rsid w:val="00052684"/>
    <w:rsid w:val="00052A33"/>
    <w:rsid w:val="0005443B"/>
    <w:rsid w:val="000548FC"/>
    <w:rsid w:val="00054DF6"/>
    <w:rsid w:val="0005561D"/>
    <w:rsid w:val="0005587C"/>
    <w:rsid w:val="000564AC"/>
    <w:rsid w:val="00061553"/>
    <w:rsid w:val="00061E3E"/>
    <w:rsid w:val="000658BE"/>
    <w:rsid w:val="000666CD"/>
    <w:rsid w:val="000707C8"/>
    <w:rsid w:val="000715B2"/>
    <w:rsid w:val="00071B47"/>
    <w:rsid w:val="00072393"/>
    <w:rsid w:val="000733A5"/>
    <w:rsid w:val="00074A5E"/>
    <w:rsid w:val="0007559F"/>
    <w:rsid w:val="00075EC3"/>
    <w:rsid w:val="00076224"/>
    <w:rsid w:val="000774C0"/>
    <w:rsid w:val="000804EA"/>
    <w:rsid w:val="000809CD"/>
    <w:rsid w:val="00082263"/>
    <w:rsid w:val="00083628"/>
    <w:rsid w:val="00083D98"/>
    <w:rsid w:val="000854AA"/>
    <w:rsid w:val="00086456"/>
    <w:rsid w:val="00086AA2"/>
    <w:rsid w:val="000901B1"/>
    <w:rsid w:val="00091B86"/>
    <w:rsid w:val="000933B7"/>
    <w:rsid w:val="00093A02"/>
    <w:rsid w:val="00093FB6"/>
    <w:rsid w:val="000953F0"/>
    <w:rsid w:val="00095918"/>
    <w:rsid w:val="0009636B"/>
    <w:rsid w:val="000972DE"/>
    <w:rsid w:val="000A0840"/>
    <w:rsid w:val="000A267A"/>
    <w:rsid w:val="000A2F3C"/>
    <w:rsid w:val="000A3117"/>
    <w:rsid w:val="000A5404"/>
    <w:rsid w:val="000A6326"/>
    <w:rsid w:val="000A6A49"/>
    <w:rsid w:val="000B0005"/>
    <w:rsid w:val="000B0323"/>
    <w:rsid w:val="000B377C"/>
    <w:rsid w:val="000B4F46"/>
    <w:rsid w:val="000B50DF"/>
    <w:rsid w:val="000B53D2"/>
    <w:rsid w:val="000B6811"/>
    <w:rsid w:val="000B7196"/>
    <w:rsid w:val="000B76F8"/>
    <w:rsid w:val="000B7DCC"/>
    <w:rsid w:val="000C1C09"/>
    <w:rsid w:val="000C1CE0"/>
    <w:rsid w:val="000C2B36"/>
    <w:rsid w:val="000C2BEB"/>
    <w:rsid w:val="000C3362"/>
    <w:rsid w:val="000C4D32"/>
    <w:rsid w:val="000C5480"/>
    <w:rsid w:val="000C5C46"/>
    <w:rsid w:val="000C62B5"/>
    <w:rsid w:val="000C6ABF"/>
    <w:rsid w:val="000D0F55"/>
    <w:rsid w:val="000D132E"/>
    <w:rsid w:val="000D2120"/>
    <w:rsid w:val="000D270A"/>
    <w:rsid w:val="000D341F"/>
    <w:rsid w:val="000D411A"/>
    <w:rsid w:val="000D4AAD"/>
    <w:rsid w:val="000D7B79"/>
    <w:rsid w:val="000E4008"/>
    <w:rsid w:val="000E43DA"/>
    <w:rsid w:val="000E6902"/>
    <w:rsid w:val="000E7059"/>
    <w:rsid w:val="000E78BA"/>
    <w:rsid w:val="000E7ABC"/>
    <w:rsid w:val="000E7BD2"/>
    <w:rsid w:val="000F0283"/>
    <w:rsid w:val="000F3225"/>
    <w:rsid w:val="000F4C4B"/>
    <w:rsid w:val="000F53ED"/>
    <w:rsid w:val="000F5722"/>
    <w:rsid w:val="000F59AA"/>
    <w:rsid w:val="000F616F"/>
    <w:rsid w:val="000F6ED7"/>
    <w:rsid w:val="000F711D"/>
    <w:rsid w:val="000F787C"/>
    <w:rsid w:val="00100646"/>
    <w:rsid w:val="00100FE8"/>
    <w:rsid w:val="00101B04"/>
    <w:rsid w:val="0010285D"/>
    <w:rsid w:val="00104FDC"/>
    <w:rsid w:val="00107571"/>
    <w:rsid w:val="001100E2"/>
    <w:rsid w:val="001107D6"/>
    <w:rsid w:val="0011337D"/>
    <w:rsid w:val="001145A0"/>
    <w:rsid w:val="00114DD7"/>
    <w:rsid w:val="00116089"/>
    <w:rsid w:val="001167D4"/>
    <w:rsid w:val="00117C70"/>
    <w:rsid w:val="00120555"/>
    <w:rsid w:val="001219CB"/>
    <w:rsid w:val="00121CF4"/>
    <w:rsid w:val="0012213D"/>
    <w:rsid w:val="00122301"/>
    <w:rsid w:val="00122F8E"/>
    <w:rsid w:val="00124510"/>
    <w:rsid w:val="0012453E"/>
    <w:rsid w:val="00124971"/>
    <w:rsid w:val="0012516A"/>
    <w:rsid w:val="001256D5"/>
    <w:rsid w:val="00127E8D"/>
    <w:rsid w:val="00130138"/>
    <w:rsid w:val="0013058E"/>
    <w:rsid w:val="0013199F"/>
    <w:rsid w:val="00132916"/>
    <w:rsid w:val="0013318B"/>
    <w:rsid w:val="00135E3B"/>
    <w:rsid w:val="001369EC"/>
    <w:rsid w:val="001371BE"/>
    <w:rsid w:val="001378DF"/>
    <w:rsid w:val="00140693"/>
    <w:rsid w:val="00140CC8"/>
    <w:rsid w:val="0014139A"/>
    <w:rsid w:val="001418F9"/>
    <w:rsid w:val="001435AA"/>
    <w:rsid w:val="00143A9F"/>
    <w:rsid w:val="00147C1C"/>
    <w:rsid w:val="0015004E"/>
    <w:rsid w:val="0015052F"/>
    <w:rsid w:val="00150D84"/>
    <w:rsid w:val="00151114"/>
    <w:rsid w:val="00151B8B"/>
    <w:rsid w:val="00153F7E"/>
    <w:rsid w:val="00154CAF"/>
    <w:rsid w:val="00155784"/>
    <w:rsid w:val="001557B8"/>
    <w:rsid w:val="001570A7"/>
    <w:rsid w:val="00160689"/>
    <w:rsid w:val="0016077C"/>
    <w:rsid w:val="00160B7C"/>
    <w:rsid w:val="0016119B"/>
    <w:rsid w:val="0016215C"/>
    <w:rsid w:val="00162475"/>
    <w:rsid w:val="001636D5"/>
    <w:rsid w:val="00165057"/>
    <w:rsid w:val="00166540"/>
    <w:rsid w:val="00167888"/>
    <w:rsid w:val="00170F88"/>
    <w:rsid w:val="00171B97"/>
    <w:rsid w:val="00172531"/>
    <w:rsid w:val="00172A4D"/>
    <w:rsid w:val="00172BC9"/>
    <w:rsid w:val="0017471A"/>
    <w:rsid w:val="00174AA7"/>
    <w:rsid w:val="00175ABA"/>
    <w:rsid w:val="00175B3C"/>
    <w:rsid w:val="00175C43"/>
    <w:rsid w:val="00175F33"/>
    <w:rsid w:val="00176F8D"/>
    <w:rsid w:val="001774B0"/>
    <w:rsid w:val="001777D1"/>
    <w:rsid w:val="00180495"/>
    <w:rsid w:val="001820C5"/>
    <w:rsid w:val="00182CA3"/>
    <w:rsid w:val="00183E5E"/>
    <w:rsid w:val="0018570B"/>
    <w:rsid w:val="001857F7"/>
    <w:rsid w:val="001863FD"/>
    <w:rsid w:val="00187CAB"/>
    <w:rsid w:val="00190679"/>
    <w:rsid w:val="0019090B"/>
    <w:rsid w:val="001916D5"/>
    <w:rsid w:val="00192244"/>
    <w:rsid w:val="00192D97"/>
    <w:rsid w:val="00193F83"/>
    <w:rsid w:val="00194F51"/>
    <w:rsid w:val="00196207"/>
    <w:rsid w:val="0019683C"/>
    <w:rsid w:val="00196C7A"/>
    <w:rsid w:val="00197DA2"/>
    <w:rsid w:val="00197F7D"/>
    <w:rsid w:val="001A0D89"/>
    <w:rsid w:val="001A11ED"/>
    <w:rsid w:val="001A182D"/>
    <w:rsid w:val="001A254C"/>
    <w:rsid w:val="001A4452"/>
    <w:rsid w:val="001A4F25"/>
    <w:rsid w:val="001A7639"/>
    <w:rsid w:val="001B0F4A"/>
    <w:rsid w:val="001B2B79"/>
    <w:rsid w:val="001B2F26"/>
    <w:rsid w:val="001B30C3"/>
    <w:rsid w:val="001B34D4"/>
    <w:rsid w:val="001B5175"/>
    <w:rsid w:val="001B5364"/>
    <w:rsid w:val="001B5C01"/>
    <w:rsid w:val="001B60B4"/>
    <w:rsid w:val="001B69F0"/>
    <w:rsid w:val="001B6AE2"/>
    <w:rsid w:val="001B6DC5"/>
    <w:rsid w:val="001B7867"/>
    <w:rsid w:val="001C10BF"/>
    <w:rsid w:val="001C1C61"/>
    <w:rsid w:val="001C1CE8"/>
    <w:rsid w:val="001C226C"/>
    <w:rsid w:val="001C2E2F"/>
    <w:rsid w:val="001C4384"/>
    <w:rsid w:val="001C4B86"/>
    <w:rsid w:val="001C4D5D"/>
    <w:rsid w:val="001C57F2"/>
    <w:rsid w:val="001C5D87"/>
    <w:rsid w:val="001C612C"/>
    <w:rsid w:val="001C63F1"/>
    <w:rsid w:val="001C72B5"/>
    <w:rsid w:val="001C7570"/>
    <w:rsid w:val="001C7E46"/>
    <w:rsid w:val="001D068A"/>
    <w:rsid w:val="001D197C"/>
    <w:rsid w:val="001D1EA3"/>
    <w:rsid w:val="001D2AE3"/>
    <w:rsid w:val="001D39CE"/>
    <w:rsid w:val="001D5BD2"/>
    <w:rsid w:val="001D5BE2"/>
    <w:rsid w:val="001D64B4"/>
    <w:rsid w:val="001D697A"/>
    <w:rsid w:val="001E014B"/>
    <w:rsid w:val="001E0608"/>
    <w:rsid w:val="001E0A01"/>
    <w:rsid w:val="001E28D1"/>
    <w:rsid w:val="001E2C74"/>
    <w:rsid w:val="001E3DA1"/>
    <w:rsid w:val="001E5572"/>
    <w:rsid w:val="001E61C5"/>
    <w:rsid w:val="001E6CDC"/>
    <w:rsid w:val="001E77AF"/>
    <w:rsid w:val="001E78B4"/>
    <w:rsid w:val="001E79BB"/>
    <w:rsid w:val="001E7E5C"/>
    <w:rsid w:val="001F005F"/>
    <w:rsid w:val="001F25F5"/>
    <w:rsid w:val="001F26C0"/>
    <w:rsid w:val="001F511F"/>
    <w:rsid w:val="001F62CD"/>
    <w:rsid w:val="001F640A"/>
    <w:rsid w:val="001F72B8"/>
    <w:rsid w:val="00201500"/>
    <w:rsid w:val="00202833"/>
    <w:rsid w:val="00203E71"/>
    <w:rsid w:val="00204E8E"/>
    <w:rsid w:val="00204EB5"/>
    <w:rsid w:val="00207A5D"/>
    <w:rsid w:val="00211319"/>
    <w:rsid w:val="002118EC"/>
    <w:rsid w:val="00211DC0"/>
    <w:rsid w:val="00213C7C"/>
    <w:rsid w:val="002144D4"/>
    <w:rsid w:val="00216073"/>
    <w:rsid w:val="002165D5"/>
    <w:rsid w:val="00216DF9"/>
    <w:rsid w:val="002170C3"/>
    <w:rsid w:val="00217B85"/>
    <w:rsid w:val="00221670"/>
    <w:rsid w:val="00222BE7"/>
    <w:rsid w:val="00223509"/>
    <w:rsid w:val="002238AD"/>
    <w:rsid w:val="002239B4"/>
    <w:rsid w:val="00223AB7"/>
    <w:rsid w:val="00225ABC"/>
    <w:rsid w:val="00226969"/>
    <w:rsid w:val="00227E7A"/>
    <w:rsid w:val="00230040"/>
    <w:rsid w:val="00230EE9"/>
    <w:rsid w:val="002311F8"/>
    <w:rsid w:val="00231F39"/>
    <w:rsid w:val="00232A34"/>
    <w:rsid w:val="002338DE"/>
    <w:rsid w:val="00235335"/>
    <w:rsid w:val="00236264"/>
    <w:rsid w:val="00236A48"/>
    <w:rsid w:val="00237100"/>
    <w:rsid w:val="0023738A"/>
    <w:rsid w:val="00237434"/>
    <w:rsid w:val="00241ACF"/>
    <w:rsid w:val="00241D92"/>
    <w:rsid w:val="00244577"/>
    <w:rsid w:val="002460C8"/>
    <w:rsid w:val="00246147"/>
    <w:rsid w:val="00247640"/>
    <w:rsid w:val="00247C6A"/>
    <w:rsid w:val="0025076A"/>
    <w:rsid w:val="00251237"/>
    <w:rsid w:val="00253BE3"/>
    <w:rsid w:val="00253FC5"/>
    <w:rsid w:val="00253FD9"/>
    <w:rsid w:val="0025414E"/>
    <w:rsid w:val="00254E1C"/>
    <w:rsid w:val="002553EB"/>
    <w:rsid w:val="002555C7"/>
    <w:rsid w:val="002600E1"/>
    <w:rsid w:val="0026071C"/>
    <w:rsid w:val="0026423B"/>
    <w:rsid w:val="00265369"/>
    <w:rsid w:val="00265BCA"/>
    <w:rsid w:val="002667DF"/>
    <w:rsid w:val="002709BD"/>
    <w:rsid w:val="002714AB"/>
    <w:rsid w:val="00271ADD"/>
    <w:rsid w:val="00271DD7"/>
    <w:rsid w:val="002728CA"/>
    <w:rsid w:val="00272A4E"/>
    <w:rsid w:val="00274F41"/>
    <w:rsid w:val="00274FF3"/>
    <w:rsid w:val="00276C42"/>
    <w:rsid w:val="00277995"/>
    <w:rsid w:val="00281569"/>
    <w:rsid w:val="002827B0"/>
    <w:rsid w:val="00283431"/>
    <w:rsid w:val="00284419"/>
    <w:rsid w:val="00287E5F"/>
    <w:rsid w:val="0029301F"/>
    <w:rsid w:val="00294798"/>
    <w:rsid w:val="00295FE0"/>
    <w:rsid w:val="002968D7"/>
    <w:rsid w:val="002A0AF7"/>
    <w:rsid w:val="002A0BF7"/>
    <w:rsid w:val="002A1357"/>
    <w:rsid w:val="002A48C9"/>
    <w:rsid w:val="002A4ED0"/>
    <w:rsid w:val="002A7865"/>
    <w:rsid w:val="002A7DC3"/>
    <w:rsid w:val="002B1C59"/>
    <w:rsid w:val="002B293D"/>
    <w:rsid w:val="002B4065"/>
    <w:rsid w:val="002B5385"/>
    <w:rsid w:val="002B6038"/>
    <w:rsid w:val="002B6096"/>
    <w:rsid w:val="002B7010"/>
    <w:rsid w:val="002B7324"/>
    <w:rsid w:val="002C0723"/>
    <w:rsid w:val="002C0A70"/>
    <w:rsid w:val="002C0DA7"/>
    <w:rsid w:val="002C202D"/>
    <w:rsid w:val="002C29E7"/>
    <w:rsid w:val="002C2CD4"/>
    <w:rsid w:val="002C31BE"/>
    <w:rsid w:val="002C44CF"/>
    <w:rsid w:val="002C5408"/>
    <w:rsid w:val="002C5608"/>
    <w:rsid w:val="002C56D0"/>
    <w:rsid w:val="002C5E28"/>
    <w:rsid w:val="002C70F4"/>
    <w:rsid w:val="002D0EF5"/>
    <w:rsid w:val="002D170C"/>
    <w:rsid w:val="002D297B"/>
    <w:rsid w:val="002D31BD"/>
    <w:rsid w:val="002D34BF"/>
    <w:rsid w:val="002D40DD"/>
    <w:rsid w:val="002D4B52"/>
    <w:rsid w:val="002D51BD"/>
    <w:rsid w:val="002D6CBA"/>
    <w:rsid w:val="002D6E9A"/>
    <w:rsid w:val="002D7A1C"/>
    <w:rsid w:val="002E01BB"/>
    <w:rsid w:val="002E05D8"/>
    <w:rsid w:val="002E0FDA"/>
    <w:rsid w:val="002E41AD"/>
    <w:rsid w:val="002E64EF"/>
    <w:rsid w:val="002E677A"/>
    <w:rsid w:val="002E6CF0"/>
    <w:rsid w:val="002E75EF"/>
    <w:rsid w:val="002E7691"/>
    <w:rsid w:val="002F1B26"/>
    <w:rsid w:val="002F1ECA"/>
    <w:rsid w:val="002F3F38"/>
    <w:rsid w:val="002F4282"/>
    <w:rsid w:val="002F4512"/>
    <w:rsid w:val="002F6052"/>
    <w:rsid w:val="002F75B8"/>
    <w:rsid w:val="002F7FFD"/>
    <w:rsid w:val="00300D0A"/>
    <w:rsid w:val="003025A1"/>
    <w:rsid w:val="0030476A"/>
    <w:rsid w:val="0030643D"/>
    <w:rsid w:val="00306A7D"/>
    <w:rsid w:val="00307058"/>
    <w:rsid w:val="003077EA"/>
    <w:rsid w:val="00310EE2"/>
    <w:rsid w:val="003121FC"/>
    <w:rsid w:val="00313712"/>
    <w:rsid w:val="00313BC4"/>
    <w:rsid w:val="00313CD6"/>
    <w:rsid w:val="00315314"/>
    <w:rsid w:val="00316E2D"/>
    <w:rsid w:val="00316FD4"/>
    <w:rsid w:val="00317AA0"/>
    <w:rsid w:val="00320AE7"/>
    <w:rsid w:val="00322582"/>
    <w:rsid w:val="00323BD0"/>
    <w:rsid w:val="003249A7"/>
    <w:rsid w:val="00325CDB"/>
    <w:rsid w:val="003271F8"/>
    <w:rsid w:val="00327C1B"/>
    <w:rsid w:val="00330141"/>
    <w:rsid w:val="00331701"/>
    <w:rsid w:val="00332457"/>
    <w:rsid w:val="00332475"/>
    <w:rsid w:val="00332487"/>
    <w:rsid w:val="00332E36"/>
    <w:rsid w:val="003336E6"/>
    <w:rsid w:val="00333FAF"/>
    <w:rsid w:val="00334070"/>
    <w:rsid w:val="00336546"/>
    <w:rsid w:val="003369AC"/>
    <w:rsid w:val="00340E65"/>
    <w:rsid w:val="003410AF"/>
    <w:rsid w:val="00341D40"/>
    <w:rsid w:val="00341D57"/>
    <w:rsid w:val="00343907"/>
    <w:rsid w:val="00343990"/>
    <w:rsid w:val="00343D01"/>
    <w:rsid w:val="0034485D"/>
    <w:rsid w:val="0034508A"/>
    <w:rsid w:val="003471B9"/>
    <w:rsid w:val="003471E3"/>
    <w:rsid w:val="003472F3"/>
    <w:rsid w:val="0034780D"/>
    <w:rsid w:val="0034796B"/>
    <w:rsid w:val="0035322A"/>
    <w:rsid w:val="00353A74"/>
    <w:rsid w:val="0035640A"/>
    <w:rsid w:val="003568D9"/>
    <w:rsid w:val="00356A4F"/>
    <w:rsid w:val="00356C27"/>
    <w:rsid w:val="003608B8"/>
    <w:rsid w:val="00360CB1"/>
    <w:rsid w:val="00361124"/>
    <w:rsid w:val="00362499"/>
    <w:rsid w:val="0036577C"/>
    <w:rsid w:val="00365F45"/>
    <w:rsid w:val="00366B5A"/>
    <w:rsid w:val="003677C5"/>
    <w:rsid w:val="00370192"/>
    <w:rsid w:val="00370382"/>
    <w:rsid w:val="0037110A"/>
    <w:rsid w:val="00371E69"/>
    <w:rsid w:val="00371EBD"/>
    <w:rsid w:val="00372609"/>
    <w:rsid w:val="00372F84"/>
    <w:rsid w:val="00373A9D"/>
    <w:rsid w:val="00373F9D"/>
    <w:rsid w:val="003744C9"/>
    <w:rsid w:val="00376460"/>
    <w:rsid w:val="00376A1D"/>
    <w:rsid w:val="00377655"/>
    <w:rsid w:val="0037781E"/>
    <w:rsid w:val="00377E43"/>
    <w:rsid w:val="0038016E"/>
    <w:rsid w:val="0038100A"/>
    <w:rsid w:val="00381F91"/>
    <w:rsid w:val="00382189"/>
    <w:rsid w:val="003827C6"/>
    <w:rsid w:val="00384F30"/>
    <w:rsid w:val="00385DB1"/>
    <w:rsid w:val="003918AD"/>
    <w:rsid w:val="0039213F"/>
    <w:rsid w:val="0039340F"/>
    <w:rsid w:val="00394233"/>
    <w:rsid w:val="00394DE8"/>
    <w:rsid w:val="00394FDF"/>
    <w:rsid w:val="00396099"/>
    <w:rsid w:val="003A0A26"/>
    <w:rsid w:val="003A1558"/>
    <w:rsid w:val="003A30E1"/>
    <w:rsid w:val="003A3DD8"/>
    <w:rsid w:val="003A5230"/>
    <w:rsid w:val="003A5FCA"/>
    <w:rsid w:val="003B09A8"/>
    <w:rsid w:val="003B241C"/>
    <w:rsid w:val="003B2E5B"/>
    <w:rsid w:val="003B3700"/>
    <w:rsid w:val="003B4DAE"/>
    <w:rsid w:val="003B509C"/>
    <w:rsid w:val="003B51BE"/>
    <w:rsid w:val="003B5DAF"/>
    <w:rsid w:val="003B7624"/>
    <w:rsid w:val="003B7CB0"/>
    <w:rsid w:val="003C0D37"/>
    <w:rsid w:val="003C21C6"/>
    <w:rsid w:val="003C28CF"/>
    <w:rsid w:val="003C2DD6"/>
    <w:rsid w:val="003C5AB1"/>
    <w:rsid w:val="003C72CE"/>
    <w:rsid w:val="003D1D27"/>
    <w:rsid w:val="003D36E8"/>
    <w:rsid w:val="003D37D3"/>
    <w:rsid w:val="003D3DCD"/>
    <w:rsid w:val="003D5720"/>
    <w:rsid w:val="003D5751"/>
    <w:rsid w:val="003D5CB5"/>
    <w:rsid w:val="003D5EB7"/>
    <w:rsid w:val="003D6C28"/>
    <w:rsid w:val="003D7856"/>
    <w:rsid w:val="003E05B3"/>
    <w:rsid w:val="003E0EF6"/>
    <w:rsid w:val="003E1438"/>
    <w:rsid w:val="003E15D8"/>
    <w:rsid w:val="003E1E32"/>
    <w:rsid w:val="003E1E9A"/>
    <w:rsid w:val="003E1FC8"/>
    <w:rsid w:val="003E4265"/>
    <w:rsid w:val="003E604E"/>
    <w:rsid w:val="003F01E0"/>
    <w:rsid w:val="003F0EDD"/>
    <w:rsid w:val="003F2CFC"/>
    <w:rsid w:val="003F375A"/>
    <w:rsid w:val="003F3F94"/>
    <w:rsid w:val="003F4464"/>
    <w:rsid w:val="003F4957"/>
    <w:rsid w:val="003F5C02"/>
    <w:rsid w:val="003F5E81"/>
    <w:rsid w:val="00401089"/>
    <w:rsid w:val="004031AB"/>
    <w:rsid w:val="004041AC"/>
    <w:rsid w:val="004042CA"/>
    <w:rsid w:val="0040500D"/>
    <w:rsid w:val="0040545D"/>
    <w:rsid w:val="00406BB7"/>
    <w:rsid w:val="00407A4A"/>
    <w:rsid w:val="00407E5C"/>
    <w:rsid w:val="00411F1D"/>
    <w:rsid w:val="004135E0"/>
    <w:rsid w:val="0041474D"/>
    <w:rsid w:val="0041596A"/>
    <w:rsid w:val="00416A22"/>
    <w:rsid w:val="004175CE"/>
    <w:rsid w:val="00420551"/>
    <w:rsid w:val="00421CF0"/>
    <w:rsid w:val="004244A5"/>
    <w:rsid w:val="00424A24"/>
    <w:rsid w:val="00424C61"/>
    <w:rsid w:val="00426437"/>
    <w:rsid w:val="0043080E"/>
    <w:rsid w:val="00431F3A"/>
    <w:rsid w:val="00432E03"/>
    <w:rsid w:val="0043441C"/>
    <w:rsid w:val="0043452A"/>
    <w:rsid w:val="004356A7"/>
    <w:rsid w:val="00435C73"/>
    <w:rsid w:val="0043692B"/>
    <w:rsid w:val="00436DE2"/>
    <w:rsid w:val="00436E10"/>
    <w:rsid w:val="00436FFC"/>
    <w:rsid w:val="00437FCE"/>
    <w:rsid w:val="0044047D"/>
    <w:rsid w:val="00440FF7"/>
    <w:rsid w:val="00441AB5"/>
    <w:rsid w:val="004442F9"/>
    <w:rsid w:val="00446446"/>
    <w:rsid w:val="00446566"/>
    <w:rsid w:val="00447BA6"/>
    <w:rsid w:val="00447D71"/>
    <w:rsid w:val="004508B4"/>
    <w:rsid w:val="00450C73"/>
    <w:rsid w:val="00451423"/>
    <w:rsid w:val="0045143A"/>
    <w:rsid w:val="004514FE"/>
    <w:rsid w:val="004526C2"/>
    <w:rsid w:val="004533DA"/>
    <w:rsid w:val="0045623B"/>
    <w:rsid w:val="00456BC3"/>
    <w:rsid w:val="00460393"/>
    <w:rsid w:val="00460565"/>
    <w:rsid w:val="00460783"/>
    <w:rsid w:val="004608C0"/>
    <w:rsid w:val="004610BE"/>
    <w:rsid w:val="00461578"/>
    <w:rsid w:val="004627F8"/>
    <w:rsid w:val="00462C14"/>
    <w:rsid w:val="0046332D"/>
    <w:rsid w:val="00464262"/>
    <w:rsid w:val="00464BE6"/>
    <w:rsid w:val="00467618"/>
    <w:rsid w:val="004678B1"/>
    <w:rsid w:val="00467A9D"/>
    <w:rsid w:val="00470BE1"/>
    <w:rsid w:val="004715E7"/>
    <w:rsid w:val="00471D8A"/>
    <w:rsid w:val="00471F67"/>
    <w:rsid w:val="00472004"/>
    <w:rsid w:val="00472E33"/>
    <w:rsid w:val="00473EB2"/>
    <w:rsid w:val="00476FD1"/>
    <w:rsid w:val="00477CD7"/>
    <w:rsid w:val="00477D29"/>
    <w:rsid w:val="00481D39"/>
    <w:rsid w:val="004820C6"/>
    <w:rsid w:val="00483CCF"/>
    <w:rsid w:val="004843C2"/>
    <w:rsid w:val="004875D4"/>
    <w:rsid w:val="00493018"/>
    <w:rsid w:val="004942FE"/>
    <w:rsid w:val="00496639"/>
    <w:rsid w:val="004976A8"/>
    <w:rsid w:val="004A0EB3"/>
    <w:rsid w:val="004A1551"/>
    <w:rsid w:val="004A1E9E"/>
    <w:rsid w:val="004A268B"/>
    <w:rsid w:val="004A2C13"/>
    <w:rsid w:val="004A66FC"/>
    <w:rsid w:val="004A77BB"/>
    <w:rsid w:val="004B0FEE"/>
    <w:rsid w:val="004B104F"/>
    <w:rsid w:val="004B1BB0"/>
    <w:rsid w:val="004B1FC0"/>
    <w:rsid w:val="004B21A1"/>
    <w:rsid w:val="004B277B"/>
    <w:rsid w:val="004B5DF0"/>
    <w:rsid w:val="004B74F2"/>
    <w:rsid w:val="004B7594"/>
    <w:rsid w:val="004B759F"/>
    <w:rsid w:val="004B7648"/>
    <w:rsid w:val="004C0C29"/>
    <w:rsid w:val="004C1FD5"/>
    <w:rsid w:val="004C2124"/>
    <w:rsid w:val="004C260E"/>
    <w:rsid w:val="004C2766"/>
    <w:rsid w:val="004C401D"/>
    <w:rsid w:val="004C6064"/>
    <w:rsid w:val="004C6539"/>
    <w:rsid w:val="004D235C"/>
    <w:rsid w:val="004D237B"/>
    <w:rsid w:val="004D2B91"/>
    <w:rsid w:val="004D3D30"/>
    <w:rsid w:val="004D408E"/>
    <w:rsid w:val="004D4AA2"/>
    <w:rsid w:val="004D4FBB"/>
    <w:rsid w:val="004D6030"/>
    <w:rsid w:val="004D6111"/>
    <w:rsid w:val="004D6FCB"/>
    <w:rsid w:val="004D7CFE"/>
    <w:rsid w:val="004E08C8"/>
    <w:rsid w:val="004E15BA"/>
    <w:rsid w:val="004E1B54"/>
    <w:rsid w:val="004E2D81"/>
    <w:rsid w:val="004E44AC"/>
    <w:rsid w:val="004E46B1"/>
    <w:rsid w:val="004E4ED0"/>
    <w:rsid w:val="004E5074"/>
    <w:rsid w:val="004E684F"/>
    <w:rsid w:val="004E7430"/>
    <w:rsid w:val="004F03E7"/>
    <w:rsid w:val="004F0810"/>
    <w:rsid w:val="004F08B7"/>
    <w:rsid w:val="004F1888"/>
    <w:rsid w:val="004F28D8"/>
    <w:rsid w:val="004F3F6F"/>
    <w:rsid w:val="004F3FE2"/>
    <w:rsid w:val="004F4289"/>
    <w:rsid w:val="004F6344"/>
    <w:rsid w:val="004F66F9"/>
    <w:rsid w:val="005022A5"/>
    <w:rsid w:val="0050277D"/>
    <w:rsid w:val="00504F37"/>
    <w:rsid w:val="005053A3"/>
    <w:rsid w:val="00507420"/>
    <w:rsid w:val="005112DE"/>
    <w:rsid w:val="005115BC"/>
    <w:rsid w:val="005117FF"/>
    <w:rsid w:val="005121B1"/>
    <w:rsid w:val="005129EF"/>
    <w:rsid w:val="005137B9"/>
    <w:rsid w:val="00513A5C"/>
    <w:rsid w:val="00514727"/>
    <w:rsid w:val="005161DB"/>
    <w:rsid w:val="00516579"/>
    <w:rsid w:val="0052007F"/>
    <w:rsid w:val="00520F61"/>
    <w:rsid w:val="00521B2A"/>
    <w:rsid w:val="005225BA"/>
    <w:rsid w:val="0052370C"/>
    <w:rsid w:val="005237C0"/>
    <w:rsid w:val="005239BC"/>
    <w:rsid w:val="00524957"/>
    <w:rsid w:val="005252CF"/>
    <w:rsid w:val="005314DC"/>
    <w:rsid w:val="005319F0"/>
    <w:rsid w:val="005333B7"/>
    <w:rsid w:val="0053480F"/>
    <w:rsid w:val="005348F6"/>
    <w:rsid w:val="005362FF"/>
    <w:rsid w:val="00540021"/>
    <w:rsid w:val="00541675"/>
    <w:rsid w:val="0054189F"/>
    <w:rsid w:val="00541D49"/>
    <w:rsid w:val="00541F4B"/>
    <w:rsid w:val="0054347D"/>
    <w:rsid w:val="00544F45"/>
    <w:rsid w:val="005458B4"/>
    <w:rsid w:val="00545ABD"/>
    <w:rsid w:val="00550114"/>
    <w:rsid w:val="005505AA"/>
    <w:rsid w:val="00551918"/>
    <w:rsid w:val="00551D9A"/>
    <w:rsid w:val="00552104"/>
    <w:rsid w:val="00554690"/>
    <w:rsid w:val="00554CC1"/>
    <w:rsid w:val="00554D98"/>
    <w:rsid w:val="00555044"/>
    <w:rsid w:val="005568EA"/>
    <w:rsid w:val="00556C10"/>
    <w:rsid w:val="00561879"/>
    <w:rsid w:val="0056263A"/>
    <w:rsid w:val="005632EC"/>
    <w:rsid w:val="00563428"/>
    <w:rsid w:val="0056392A"/>
    <w:rsid w:val="00564224"/>
    <w:rsid w:val="00564CBD"/>
    <w:rsid w:val="005663F9"/>
    <w:rsid w:val="0057033A"/>
    <w:rsid w:val="00570728"/>
    <w:rsid w:val="005707FF"/>
    <w:rsid w:val="00571891"/>
    <w:rsid w:val="005747A7"/>
    <w:rsid w:val="00576F5E"/>
    <w:rsid w:val="0058279C"/>
    <w:rsid w:val="00582900"/>
    <w:rsid w:val="0058310A"/>
    <w:rsid w:val="00585AC5"/>
    <w:rsid w:val="00585CF2"/>
    <w:rsid w:val="00585DA7"/>
    <w:rsid w:val="00586760"/>
    <w:rsid w:val="00590DD3"/>
    <w:rsid w:val="00591A83"/>
    <w:rsid w:val="0059202A"/>
    <w:rsid w:val="0059242C"/>
    <w:rsid w:val="00592C34"/>
    <w:rsid w:val="005935FC"/>
    <w:rsid w:val="005947C9"/>
    <w:rsid w:val="00594EA3"/>
    <w:rsid w:val="00594F5D"/>
    <w:rsid w:val="005952C8"/>
    <w:rsid w:val="00595E29"/>
    <w:rsid w:val="00596590"/>
    <w:rsid w:val="00597B1F"/>
    <w:rsid w:val="005A0830"/>
    <w:rsid w:val="005A1DB3"/>
    <w:rsid w:val="005A1F07"/>
    <w:rsid w:val="005A2284"/>
    <w:rsid w:val="005A2551"/>
    <w:rsid w:val="005A3161"/>
    <w:rsid w:val="005A3EBA"/>
    <w:rsid w:val="005A5C98"/>
    <w:rsid w:val="005A5FDA"/>
    <w:rsid w:val="005A7D13"/>
    <w:rsid w:val="005B00C8"/>
    <w:rsid w:val="005B117C"/>
    <w:rsid w:val="005B1CFF"/>
    <w:rsid w:val="005B1EEE"/>
    <w:rsid w:val="005B219E"/>
    <w:rsid w:val="005B28A5"/>
    <w:rsid w:val="005B311E"/>
    <w:rsid w:val="005B408B"/>
    <w:rsid w:val="005B42EA"/>
    <w:rsid w:val="005B43D5"/>
    <w:rsid w:val="005B4662"/>
    <w:rsid w:val="005B4AD4"/>
    <w:rsid w:val="005B63AC"/>
    <w:rsid w:val="005B7488"/>
    <w:rsid w:val="005C071B"/>
    <w:rsid w:val="005C08F2"/>
    <w:rsid w:val="005C0FE2"/>
    <w:rsid w:val="005C1383"/>
    <w:rsid w:val="005C212C"/>
    <w:rsid w:val="005C230C"/>
    <w:rsid w:val="005C28B1"/>
    <w:rsid w:val="005C28FF"/>
    <w:rsid w:val="005C2C1A"/>
    <w:rsid w:val="005C450F"/>
    <w:rsid w:val="005C55CD"/>
    <w:rsid w:val="005C5CDE"/>
    <w:rsid w:val="005C69CD"/>
    <w:rsid w:val="005D149D"/>
    <w:rsid w:val="005D4B27"/>
    <w:rsid w:val="005D5451"/>
    <w:rsid w:val="005D60A2"/>
    <w:rsid w:val="005D68CC"/>
    <w:rsid w:val="005D6EE2"/>
    <w:rsid w:val="005E0B43"/>
    <w:rsid w:val="005E121C"/>
    <w:rsid w:val="005E196E"/>
    <w:rsid w:val="005E1C9D"/>
    <w:rsid w:val="005E2025"/>
    <w:rsid w:val="005E2FB6"/>
    <w:rsid w:val="005E3C63"/>
    <w:rsid w:val="005E4479"/>
    <w:rsid w:val="005E5402"/>
    <w:rsid w:val="005E5D7D"/>
    <w:rsid w:val="005F0FF9"/>
    <w:rsid w:val="005F1DFF"/>
    <w:rsid w:val="005F2006"/>
    <w:rsid w:val="005F3A3F"/>
    <w:rsid w:val="005F4268"/>
    <w:rsid w:val="005F43B7"/>
    <w:rsid w:val="005F4446"/>
    <w:rsid w:val="005F650E"/>
    <w:rsid w:val="005F6CA0"/>
    <w:rsid w:val="0060036A"/>
    <w:rsid w:val="0060065E"/>
    <w:rsid w:val="00600E56"/>
    <w:rsid w:val="006018F1"/>
    <w:rsid w:val="00602A81"/>
    <w:rsid w:val="0060336D"/>
    <w:rsid w:val="0060385E"/>
    <w:rsid w:val="00603864"/>
    <w:rsid w:val="00605818"/>
    <w:rsid w:val="0060591E"/>
    <w:rsid w:val="006065EF"/>
    <w:rsid w:val="00606E27"/>
    <w:rsid w:val="00607439"/>
    <w:rsid w:val="006075E0"/>
    <w:rsid w:val="00607CDE"/>
    <w:rsid w:val="00607EDA"/>
    <w:rsid w:val="00607EEA"/>
    <w:rsid w:val="00607FCA"/>
    <w:rsid w:val="00610326"/>
    <w:rsid w:val="00611374"/>
    <w:rsid w:val="00611A92"/>
    <w:rsid w:val="00612B55"/>
    <w:rsid w:val="0061329B"/>
    <w:rsid w:val="006135AA"/>
    <w:rsid w:val="00613D59"/>
    <w:rsid w:val="00614D46"/>
    <w:rsid w:val="00615E58"/>
    <w:rsid w:val="00616AB1"/>
    <w:rsid w:val="006176A2"/>
    <w:rsid w:val="0061789F"/>
    <w:rsid w:val="00617BCC"/>
    <w:rsid w:val="0062058E"/>
    <w:rsid w:val="00621049"/>
    <w:rsid w:val="00621D79"/>
    <w:rsid w:val="00622601"/>
    <w:rsid w:val="00622ACA"/>
    <w:rsid w:val="00622B9A"/>
    <w:rsid w:val="006240C6"/>
    <w:rsid w:val="00632DEC"/>
    <w:rsid w:val="006330A9"/>
    <w:rsid w:val="00633848"/>
    <w:rsid w:val="00633DC7"/>
    <w:rsid w:val="00634171"/>
    <w:rsid w:val="00636110"/>
    <w:rsid w:val="00636621"/>
    <w:rsid w:val="006403BB"/>
    <w:rsid w:val="00640F3B"/>
    <w:rsid w:val="00640F3D"/>
    <w:rsid w:val="00641581"/>
    <w:rsid w:val="006416AD"/>
    <w:rsid w:val="006420EA"/>
    <w:rsid w:val="006427CA"/>
    <w:rsid w:val="0064342F"/>
    <w:rsid w:val="0064443B"/>
    <w:rsid w:val="006447FF"/>
    <w:rsid w:val="006449F2"/>
    <w:rsid w:val="00644A3A"/>
    <w:rsid w:val="00644B4D"/>
    <w:rsid w:val="00646EE2"/>
    <w:rsid w:val="00647969"/>
    <w:rsid w:val="00650098"/>
    <w:rsid w:val="006522F4"/>
    <w:rsid w:val="00652347"/>
    <w:rsid w:val="0065246B"/>
    <w:rsid w:val="00652A07"/>
    <w:rsid w:val="006530AB"/>
    <w:rsid w:val="00653AF1"/>
    <w:rsid w:val="00654BF5"/>
    <w:rsid w:val="006558DC"/>
    <w:rsid w:val="00655CDF"/>
    <w:rsid w:val="00655FC2"/>
    <w:rsid w:val="0065601B"/>
    <w:rsid w:val="00656E11"/>
    <w:rsid w:val="00660812"/>
    <w:rsid w:val="006638BA"/>
    <w:rsid w:val="0066407D"/>
    <w:rsid w:val="00664669"/>
    <w:rsid w:val="00664BBF"/>
    <w:rsid w:val="00664CBB"/>
    <w:rsid w:val="006673A7"/>
    <w:rsid w:val="00673070"/>
    <w:rsid w:val="0067343B"/>
    <w:rsid w:val="00674AD2"/>
    <w:rsid w:val="0067597C"/>
    <w:rsid w:val="00676820"/>
    <w:rsid w:val="00680C4B"/>
    <w:rsid w:val="00681419"/>
    <w:rsid w:val="00682E78"/>
    <w:rsid w:val="00683037"/>
    <w:rsid w:val="00683ED4"/>
    <w:rsid w:val="00684958"/>
    <w:rsid w:val="0068699C"/>
    <w:rsid w:val="00686F57"/>
    <w:rsid w:val="00687EC6"/>
    <w:rsid w:val="00690E8F"/>
    <w:rsid w:val="00691590"/>
    <w:rsid w:val="00691941"/>
    <w:rsid w:val="0069196A"/>
    <w:rsid w:val="006928A1"/>
    <w:rsid w:val="00694D51"/>
    <w:rsid w:val="006A351E"/>
    <w:rsid w:val="006A4213"/>
    <w:rsid w:val="006A4570"/>
    <w:rsid w:val="006A558B"/>
    <w:rsid w:val="006A7D84"/>
    <w:rsid w:val="006A7EB8"/>
    <w:rsid w:val="006B1D7A"/>
    <w:rsid w:val="006B72CE"/>
    <w:rsid w:val="006B7E50"/>
    <w:rsid w:val="006C1B4E"/>
    <w:rsid w:val="006C20A6"/>
    <w:rsid w:val="006C2104"/>
    <w:rsid w:val="006C4116"/>
    <w:rsid w:val="006C4833"/>
    <w:rsid w:val="006C7043"/>
    <w:rsid w:val="006C779C"/>
    <w:rsid w:val="006C78A2"/>
    <w:rsid w:val="006D01F2"/>
    <w:rsid w:val="006D09BD"/>
    <w:rsid w:val="006D12E6"/>
    <w:rsid w:val="006D3174"/>
    <w:rsid w:val="006D3703"/>
    <w:rsid w:val="006D38E4"/>
    <w:rsid w:val="006D41A8"/>
    <w:rsid w:val="006D5EF8"/>
    <w:rsid w:val="006D6439"/>
    <w:rsid w:val="006D6CB9"/>
    <w:rsid w:val="006E01CB"/>
    <w:rsid w:val="006E0CF9"/>
    <w:rsid w:val="006E1022"/>
    <w:rsid w:val="006E17B9"/>
    <w:rsid w:val="006E1E39"/>
    <w:rsid w:val="006E2543"/>
    <w:rsid w:val="006E35B4"/>
    <w:rsid w:val="006E35B9"/>
    <w:rsid w:val="006E6AD4"/>
    <w:rsid w:val="006E7EFA"/>
    <w:rsid w:val="006F00C2"/>
    <w:rsid w:val="006F04E1"/>
    <w:rsid w:val="006F092E"/>
    <w:rsid w:val="006F119C"/>
    <w:rsid w:val="006F277E"/>
    <w:rsid w:val="006F2B8C"/>
    <w:rsid w:val="006F39CD"/>
    <w:rsid w:val="006F4028"/>
    <w:rsid w:val="006F4A10"/>
    <w:rsid w:val="006F5935"/>
    <w:rsid w:val="006F7763"/>
    <w:rsid w:val="00701060"/>
    <w:rsid w:val="0070136A"/>
    <w:rsid w:val="00701725"/>
    <w:rsid w:val="0070201E"/>
    <w:rsid w:val="0070277E"/>
    <w:rsid w:val="0070283A"/>
    <w:rsid w:val="0070286E"/>
    <w:rsid w:val="00704CA8"/>
    <w:rsid w:val="00706314"/>
    <w:rsid w:val="007118B6"/>
    <w:rsid w:val="0071226E"/>
    <w:rsid w:val="007127D1"/>
    <w:rsid w:val="00712DEE"/>
    <w:rsid w:val="00715548"/>
    <w:rsid w:val="007156A9"/>
    <w:rsid w:val="00715966"/>
    <w:rsid w:val="00715C21"/>
    <w:rsid w:val="00715FE5"/>
    <w:rsid w:val="00716486"/>
    <w:rsid w:val="0071684E"/>
    <w:rsid w:val="0071753A"/>
    <w:rsid w:val="0071792B"/>
    <w:rsid w:val="0071792C"/>
    <w:rsid w:val="007179A5"/>
    <w:rsid w:val="007206B2"/>
    <w:rsid w:val="00721049"/>
    <w:rsid w:val="007230D7"/>
    <w:rsid w:val="00724299"/>
    <w:rsid w:val="007249F1"/>
    <w:rsid w:val="007263A6"/>
    <w:rsid w:val="007269F5"/>
    <w:rsid w:val="00727B55"/>
    <w:rsid w:val="00732ABB"/>
    <w:rsid w:val="00733102"/>
    <w:rsid w:val="00733F57"/>
    <w:rsid w:val="00734192"/>
    <w:rsid w:val="00734723"/>
    <w:rsid w:val="007350D3"/>
    <w:rsid w:val="00735537"/>
    <w:rsid w:val="00736619"/>
    <w:rsid w:val="00740277"/>
    <w:rsid w:val="0074043D"/>
    <w:rsid w:val="00741CE9"/>
    <w:rsid w:val="00743226"/>
    <w:rsid w:val="007433FB"/>
    <w:rsid w:val="007444E1"/>
    <w:rsid w:val="00746E85"/>
    <w:rsid w:val="00751BFF"/>
    <w:rsid w:val="0075461A"/>
    <w:rsid w:val="00754D0F"/>
    <w:rsid w:val="007559A7"/>
    <w:rsid w:val="00756F98"/>
    <w:rsid w:val="007603DE"/>
    <w:rsid w:val="00761BB0"/>
    <w:rsid w:val="00763506"/>
    <w:rsid w:val="00765578"/>
    <w:rsid w:val="0076645E"/>
    <w:rsid w:val="00770482"/>
    <w:rsid w:val="00770FF5"/>
    <w:rsid w:val="007716C1"/>
    <w:rsid w:val="007722A6"/>
    <w:rsid w:val="00773F86"/>
    <w:rsid w:val="00774015"/>
    <w:rsid w:val="00774314"/>
    <w:rsid w:val="007772FD"/>
    <w:rsid w:val="00777B5E"/>
    <w:rsid w:val="00777ED0"/>
    <w:rsid w:val="00780F13"/>
    <w:rsid w:val="007818AA"/>
    <w:rsid w:val="00781B2D"/>
    <w:rsid w:val="0078348E"/>
    <w:rsid w:val="00785164"/>
    <w:rsid w:val="00786D9B"/>
    <w:rsid w:val="007872B5"/>
    <w:rsid w:val="00787583"/>
    <w:rsid w:val="00787606"/>
    <w:rsid w:val="007877C8"/>
    <w:rsid w:val="00791733"/>
    <w:rsid w:val="00793A7C"/>
    <w:rsid w:val="00795205"/>
    <w:rsid w:val="00795323"/>
    <w:rsid w:val="00797193"/>
    <w:rsid w:val="00797418"/>
    <w:rsid w:val="00797EE2"/>
    <w:rsid w:val="007A1C6D"/>
    <w:rsid w:val="007A1F34"/>
    <w:rsid w:val="007A2BA4"/>
    <w:rsid w:val="007A31F7"/>
    <w:rsid w:val="007A4CF8"/>
    <w:rsid w:val="007A4FAF"/>
    <w:rsid w:val="007A5645"/>
    <w:rsid w:val="007A5C43"/>
    <w:rsid w:val="007A5EE0"/>
    <w:rsid w:val="007A6564"/>
    <w:rsid w:val="007A750E"/>
    <w:rsid w:val="007A7D12"/>
    <w:rsid w:val="007A7D95"/>
    <w:rsid w:val="007B0A34"/>
    <w:rsid w:val="007B0C90"/>
    <w:rsid w:val="007B0FA9"/>
    <w:rsid w:val="007B1601"/>
    <w:rsid w:val="007B26BB"/>
    <w:rsid w:val="007B3263"/>
    <w:rsid w:val="007B353A"/>
    <w:rsid w:val="007B3632"/>
    <w:rsid w:val="007B3658"/>
    <w:rsid w:val="007B3FC9"/>
    <w:rsid w:val="007B4027"/>
    <w:rsid w:val="007B51AE"/>
    <w:rsid w:val="007B6025"/>
    <w:rsid w:val="007B79A7"/>
    <w:rsid w:val="007C047F"/>
    <w:rsid w:val="007C2263"/>
    <w:rsid w:val="007C248B"/>
    <w:rsid w:val="007C3150"/>
    <w:rsid w:val="007C31B6"/>
    <w:rsid w:val="007C3C34"/>
    <w:rsid w:val="007C3E70"/>
    <w:rsid w:val="007C4150"/>
    <w:rsid w:val="007C4DA3"/>
    <w:rsid w:val="007C5A85"/>
    <w:rsid w:val="007D04B3"/>
    <w:rsid w:val="007D05C9"/>
    <w:rsid w:val="007D1D56"/>
    <w:rsid w:val="007D25BC"/>
    <w:rsid w:val="007D4983"/>
    <w:rsid w:val="007D4CFD"/>
    <w:rsid w:val="007D5C2E"/>
    <w:rsid w:val="007D6659"/>
    <w:rsid w:val="007E09BE"/>
    <w:rsid w:val="007E266E"/>
    <w:rsid w:val="007E446D"/>
    <w:rsid w:val="007E529F"/>
    <w:rsid w:val="007E52F9"/>
    <w:rsid w:val="007E53B4"/>
    <w:rsid w:val="007E56F7"/>
    <w:rsid w:val="007E57B3"/>
    <w:rsid w:val="007E58A4"/>
    <w:rsid w:val="007E6C0E"/>
    <w:rsid w:val="007E7C78"/>
    <w:rsid w:val="007F0470"/>
    <w:rsid w:val="007F0E34"/>
    <w:rsid w:val="007F1648"/>
    <w:rsid w:val="007F1ACA"/>
    <w:rsid w:val="007F249A"/>
    <w:rsid w:val="007F2DC3"/>
    <w:rsid w:val="007F2FE1"/>
    <w:rsid w:val="007F3358"/>
    <w:rsid w:val="007F458D"/>
    <w:rsid w:val="00800405"/>
    <w:rsid w:val="00801457"/>
    <w:rsid w:val="008021CC"/>
    <w:rsid w:val="0080415C"/>
    <w:rsid w:val="008044AB"/>
    <w:rsid w:val="0080585F"/>
    <w:rsid w:val="0080590B"/>
    <w:rsid w:val="008067B6"/>
    <w:rsid w:val="00810E01"/>
    <w:rsid w:val="00811CC8"/>
    <w:rsid w:val="00812782"/>
    <w:rsid w:val="00814F80"/>
    <w:rsid w:val="00816F8B"/>
    <w:rsid w:val="00817B3A"/>
    <w:rsid w:val="008209FA"/>
    <w:rsid w:val="00822F11"/>
    <w:rsid w:val="00823081"/>
    <w:rsid w:val="00823647"/>
    <w:rsid w:val="00824FD7"/>
    <w:rsid w:val="00825456"/>
    <w:rsid w:val="0082568D"/>
    <w:rsid w:val="00832FA2"/>
    <w:rsid w:val="00836192"/>
    <w:rsid w:val="00840468"/>
    <w:rsid w:val="00841835"/>
    <w:rsid w:val="00843727"/>
    <w:rsid w:val="0084468A"/>
    <w:rsid w:val="00845B42"/>
    <w:rsid w:val="00846B46"/>
    <w:rsid w:val="00847421"/>
    <w:rsid w:val="0085041E"/>
    <w:rsid w:val="00850BDA"/>
    <w:rsid w:val="008513FB"/>
    <w:rsid w:val="008518ED"/>
    <w:rsid w:val="00853EC8"/>
    <w:rsid w:val="00854979"/>
    <w:rsid w:val="00855696"/>
    <w:rsid w:val="00855E7E"/>
    <w:rsid w:val="008574B5"/>
    <w:rsid w:val="00857AD9"/>
    <w:rsid w:val="008600C3"/>
    <w:rsid w:val="0086033C"/>
    <w:rsid w:val="00860428"/>
    <w:rsid w:val="008604EA"/>
    <w:rsid w:val="008612CF"/>
    <w:rsid w:val="00861362"/>
    <w:rsid w:val="00861D3A"/>
    <w:rsid w:val="00864291"/>
    <w:rsid w:val="00866F10"/>
    <w:rsid w:val="0086730B"/>
    <w:rsid w:val="0087049D"/>
    <w:rsid w:val="00872DEA"/>
    <w:rsid w:val="008733CF"/>
    <w:rsid w:val="00873595"/>
    <w:rsid w:val="0087580F"/>
    <w:rsid w:val="00875A46"/>
    <w:rsid w:val="0087700B"/>
    <w:rsid w:val="0088158A"/>
    <w:rsid w:val="00884E38"/>
    <w:rsid w:val="0088784B"/>
    <w:rsid w:val="00890F61"/>
    <w:rsid w:val="00891872"/>
    <w:rsid w:val="0089191E"/>
    <w:rsid w:val="008931E5"/>
    <w:rsid w:val="0089392D"/>
    <w:rsid w:val="00893D63"/>
    <w:rsid w:val="00894943"/>
    <w:rsid w:val="00894C69"/>
    <w:rsid w:val="00894D3A"/>
    <w:rsid w:val="008955FA"/>
    <w:rsid w:val="00896C13"/>
    <w:rsid w:val="008975CF"/>
    <w:rsid w:val="008A0C1E"/>
    <w:rsid w:val="008A127E"/>
    <w:rsid w:val="008A16A5"/>
    <w:rsid w:val="008A1D9D"/>
    <w:rsid w:val="008A4EAF"/>
    <w:rsid w:val="008A562E"/>
    <w:rsid w:val="008A7070"/>
    <w:rsid w:val="008A72A1"/>
    <w:rsid w:val="008A7C09"/>
    <w:rsid w:val="008A7C2F"/>
    <w:rsid w:val="008B0E13"/>
    <w:rsid w:val="008B1880"/>
    <w:rsid w:val="008B4110"/>
    <w:rsid w:val="008B42FC"/>
    <w:rsid w:val="008B5BB2"/>
    <w:rsid w:val="008B699F"/>
    <w:rsid w:val="008B7019"/>
    <w:rsid w:val="008B721B"/>
    <w:rsid w:val="008C0FB5"/>
    <w:rsid w:val="008C11C6"/>
    <w:rsid w:val="008C1283"/>
    <w:rsid w:val="008C19A9"/>
    <w:rsid w:val="008C2135"/>
    <w:rsid w:val="008C2C6C"/>
    <w:rsid w:val="008C3815"/>
    <w:rsid w:val="008C4F2D"/>
    <w:rsid w:val="008C662B"/>
    <w:rsid w:val="008C7366"/>
    <w:rsid w:val="008C7DFF"/>
    <w:rsid w:val="008D04B4"/>
    <w:rsid w:val="008D09A4"/>
    <w:rsid w:val="008D2640"/>
    <w:rsid w:val="008D2661"/>
    <w:rsid w:val="008D318D"/>
    <w:rsid w:val="008D3288"/>
    <w:rsid w:val="008D37DF"/>
    <w:rsid w:val="008D406F"/>
    <w:rsid w:val="008D4407"/>
    <w:rsid w:val="008D478C"/>
    <w:rsid w:val="008D4AA3"/>
    <w:rsid w:val="008D52BD"/>
    <w:rsid w:val="008D6111"/>
    <w:rsid w:val="008D695E"/>
    <w:rsid w:val="008D6DCC"/>
    <w:rsid w:val="008D7967"/>
    <w:rsid w:val="008E0350"/>
    <w:rsid w:val="008E1930"/>
    <w:rsid w:val="008E31FD"/>
    <w:rsid w:val="008E3336"/>
    <w:rsid w:val="008E383C"/>
    <w:rsid w:val="008E448C"/>
    <w:rsid w:val="008E67D1"/>
    <w:rsid w:val="008E7522"/>
    <w:rsid w:val="008E7BCC"/>
    <w:rsid w:val="008F0F17"/>
    <w:rsid w:val="008F1226"/>
    <w:rsid w:val="008F26BE"/>
    <w:rsid w:val="008F2920"/>
    <w:rsid w:val="008F2EB9"/>
    <w:rsid w:val="008F4432"/>
    <w:rsid w:val="008F780F"/>
    <w:rsid w:val="00901D59"/>
    <w:rsid w:val="0090373B"/>
    <w:rsid w:val="009043DE"/>
    <w:rsid w:val="00905CA8"/>
    <w:rsid w:val="00907018"/>
    <w:rsid w:val="00910B7B"/>
    <w:rsid w:val="00912596"/>
    <w:rsid w:val="00914147"/>
    <w:rsid w:val="00914A24"/>
    <w:rsid w:val="00914FA7"/>
    <w:rsid w:val="009154EF"/>
    <w:rsid w:val="00915522"/>
    <w:rsid w:val="00920115"/>
    <w:rsid w:val="00921573"/>
    <w:rsid w:val="00921800"/>
    <w:rsid w:val="0092249A"/>
    <w:rsid w:val="0092279F"/>
    <w:rsid w:val="00923AE8"/>
    <w:rsid w:val="00923B98"/>
    <w:rsid w:val="009243D9"/>
    <w:rsid w:val="009271B8"/>
    <w:rsid w:val="00927CC6"/>
    <w:rsid w:val="0093249A"/>
    <w:rsid w:val="0093258B"/>
    <w:rsid w:val="00933725"/>
    <w:rsid w:val="009347B2"/>
    <w:rsid w:val="00936FF1"/>
    <w:rsid w:val="00937032"/>
    <w:rsid w:val="00937206"/>
    <w:rsid w:val="0093723C"/>
    <w:rsid w:val="0094054F"/>
    <w:rsid w:val="0094067A"/>
    <w:rsid w:val="00941861"/>
    <w:rsid w:val="0094204E"/>
    <w:rsid w:val="00942730"/>
    <w:rsid w:val="00943043"/>
    <w:rsid w:val="0094375C"/>
    <w:rsid w:val="00944986"/>
    <w:rsid w:val="00945EF2"/>
    <w:rsid w:val="0094618F"/>
    <w:rsid w:val="00947B52"/>
    <w:rsid w:val="0095026B"/>
    <w:rsid w:val="00950FC8"/>
    <w:rsid w:val="009517FB"/>
    <w:rsid w:val="009543F5"/>
    <w:rsid w:val="00955A85"/>
    <w:rsid w:val="00955CDF"/>
    <w:rsid w:val="00955E47"/>
    <w:rsid w:val="0095639A"/>
    <w:rsid w:val="009571CB"/>
    <w:rsid w:val="00957C71"/>
    <w:rsid w:val="00960B72"/>
    <w:rsid w:val="009625A8"/>
    <w:rsid w:val="00970A18"/>
    <w:rsid w:val="00970B2D"/>
    <w:rsid w:val="009717F1"/>
    <w:rsid w:val="009721FF"/>
    <w:rsid w:val="009727F8"/>
    <w:rsid w:val="00975362"/>
    <w:rsid w:val="009772F0"/>
    <w:rsid w:val="00980042"/>
    <w:rsid w:val="009811F1"/>
    <w:rsid w:val="009819B5"/>
    <w:rsid w:val="0098314E"/>
    <w:rsid w:val="009835D9"/>
    <w:rsid w:val="0098484C"/>
    <w:rsid w:val="00984BD8"/>
    <w:rsid w:val="00986230"/>
    <w:rsid w:val="009877AA"/>
    <w:rsid w:val="0099065A"/>
    <w:rsid w:val="00990A34"/>
    <w:rsid w:val="00990BBF"/>
    <w:rsid w:val="0099150C"/>
    <w:rsid w:val="00992351"/>
    <w:rsid w:val="00994310"/>
    <w:rsid w:val="00994917"/>
    <w:rsid w:val="0099696D"/>
    <w:rsid w:val="009975D9"/>
    <w:rsid w:val="009A1071"/>
    <w:rsid w:val="009A1553"/>
    <w:rsid w:val="009A3941"/>
    <w:rsid w:val="009A44D1"/>
    <w:rsid w:val="009A72AE"/>
    <w:rsid w:val="009B05AA"/>
    <w:rsid w:val="009B27A7"/>
    <w:rsid w:val="009B2919"/>
    <w:rsid w:val="009B3B10"/>
    <w:rsid w:val="009B5250"/>
    <w:rsid w:val="009B58E3"/>
    <w:rsid w:val="009B7029"/>
    <w:rsid w:val="009B7F7B"/>
    <w:rsid w:val="009C05E2"/>
    <w:rsid w:val="009C07ED"/>
    <w:rsid w:val="009C0C4A"/>
    <w:rsid w:val="009C0E92"/>
    <w:rsid w:val="009C1E5E"/>
    <w:rsid w:val="009C2404"/>
    <w:rsid w:val="009C25FD"/>
    <w:rsid w:val="009C62A4"/>
    <w:rsid w:val="009C7FB7"/>
    <w:rsid w:val="009D0057"/>
    <w:rsid w:val="009D077D"/>
    <w:rsid w:val="009D0F8A"/>
    <w:rsid w:val="009D2471"/>
    <w:rsid w:val="009D25EE"/>
    <w:rsid w:val="009D33FB"/>
    <w:rsid w:val="009D4044"/>
    <w:rsid w:val="009D6328"/>
    <w:rsid w:val="009D79B5"/>
    <w:rsid w:val="009E0680"/>
    <w:rsid w:val="009E090C"/>
    <w:rsid w:val="009E1369"/>
    <w:rsid w:val="009E5AD0"/>
    <w:rsid w:val="009E5E9C"/>
    <w:rsid w:val="009E7126"/>
    <w:rsid w:val="009E7915"/>
    <w:rsid w:val="009F191D"/>
    <w:rsid w:val="009F25F9"/>
    <w:rsid w:val="009F2CF2"/>
    <w:rsid w:val="009F3526"/>
    <w:rsid w:val="009F3863"/>
    <w:rsid w:val="009F4207"/>
    <w:rsid w:val="009F476E"/>
    <w:rsid w:val="009F6C6D"/>
    <w:rsid w:val="00A0038E"/>
    <w:rsid w:val="00A00F4C"/>
    <w:rsid w:val="00A01507"/>
    <w:rsid w:val="00A0176B"/>
    <w:rsid w:val="00A0411E"/>
    <w:rsid w:val="00A04821"/>
    <w:rsid w:val="00A06246"/>
    <w:rsid w:val="00A0683D"/>
    <w:rsid w:val="00A07EF1"/>
    <w:rsid w:val="00A10FC5"/>
    <w:rsid w:val="00A1194B"/>
    <w:rsid w:val="00A14552"/>
    <w:rsid w:val="00A14836"/>
    <w:rsid w:val="00A14D56"/>
    <w:rsid w:val="00A165F8"/>
    <w:rsid w:val="00A16E2A"/>
    <w:rsid w:val="00A17373"/>
    <w:rsid w:val="00A177F1"/>
    <w:rsid w:val="00A17B1B"/>
    <w:rsid w:val="00A21332"/>
    <w:rsid w:val="00A23875"/>
    <w:rsid w:val="00A23C7C"/>
    <w:rsid w:val="00A23C9C"/>
    <w:rsid w:val="00A23D49"/>
    <w:rsid w:val="00A24F94"/>
    <w:rsid w:val="00A26217"/>
    <w:rsid w:val="00A265EB"/>
    <w:rsid w:val="00A32E79"/>
    <w:rsid w:val="00A35D4B"/>
    <w:rsid w:val="00A35D4F"/>
    <w:rsid w:val="00A37249"/>
    <w:rsid w:val="00A373F6"/>
    <w:rsid w:val="00A37A8E"/>
    <w:rsid w:val="00A40623"/>
    <w:rsid w:val="00A411BD"/>
    <w:rsid w:val="00A443A0"/>
    <w:rsid w:val="00A454A3"/>
    <w:rsid w:val="00A45651"/>
    <w:rsid w:val="00A460C8"/>
    <w:rsid w:val="00A46370"/>
    <w:rsid w:val="00A50E51"/>
    <w:rsid w:val="00A51969"/>
    <w:rsid w:val="00A52F71"/>
    <w:rsid w:val="00A55383"/>
    <w:rsid w:val="00A56609"/>
    <w:rsid w:val="00A56745"/>
    <w:rsid w:val="00A56897"/>
    <w:rsid w:val="00A60DF1"/>
    <w:rsid w:val="00A60E91"/>
    <w:rsid w:val="00A613BA"/>
    <w:rsid w:val="00A613D4"/>
    <w:rsid w:val="00A61F48"/>
    <w:rsid w:val="00A61F6E"/>
    <w:rsid w:val="00A62940"/>
    <w:rsid w:val="00A63158"/>
    <w:rsid w:val="00A63920"/>
    <w:rsid w:val="00A6435F"/>
    <w:rsid w:val="00A653C7"/>
    <w:rsid w:val="00A654A5"/>
    <w:rsid w:val="00A66FFC"/>
    <w:rsid w:val="00A67169"/>
    <w:rsid w:val="00A677CD"/>
    <w:rsid w:val="00A67C4A"/>
    <w:rsid w:val="00A70199"/>
    <w:rsid w:val="00A7045B"/>
    <w:rsid w:val="00A705FC"/>
    <w:rsid w:val="00A70C71"/>
    <w:rsid w:val="00A71995"/>
    <w:rsid w:val="00A71A8D"/>
    <w:rsid w:val="00A71E4D"/>
    <w:rsid w:val="00A7498B"/>
    <w:rsid w:val="00A74ABF"/>
    <w:rsid w:val="00A76093"/>
    <w:rsid w:val="00A80257"/>
    <w:rsid w:val="00A80AAA"/>
    <w:rsid w:val="00A8180A"/>
    <w:rsid w:val="00A81CC2"/>
    <w:rsid w:val="00A8265B"/>
    <w:rsid w:val="00A829DE"/>
    <w:rsid w:val="00A82F65"/>
    <w:rsid w:val="00A836F1"/>
    <w:rsid w:val="00A83EEC"/>
    <w:rsid w:val="00A8513D"/>
    <w:rsid w:val="00A85EC2"/>
    <w:rsid w:val="00A86F65"/>
    <w:rsid w:val="00A87320"/>
    <w:rsid w:val="00A87575"/>
    <w:rsid w:val="00A91406"/>
    <w:rsid w:val="00A9186C"/>
    <w:rsid w:val="00A92EC3"/>
    <w:rsid w:val="00A93664"/>
    <w:rsid w:val="00A94672"/>
    <w:rsid w:val="00A94787"/>
    <w:rsid w:val="00A95369"/>
    <w:rsid w:val="00A97007"/>
    <w:rsid w:val="00A97363"/>
    <w:rsid w:val="00AA00E3"/>
    <w:rsid w:val="00AA180A"/>
    <w:rsid w:val="00AA26FF"/>
    <w:rsid w:val="00AA37D9"/>
    <w:rsid w:val="00AA45A6"/>
    <w:rsid w:val="00AA5DC5"/>
    <w:rsid w:val="00AA687D"/>
    <w:rsid w:val="00AA763B"/>
    <w:rsid w:val="00AB30D0"/>
    <w:rsid w:val="00AB4755"/>
    <w:rsid w:val="00AB7407"/>
    <w:rsid w:val="00AB75DC"/>
    <w:rsid w:val="00AB7D53"/>
    <w:rsid w:val="00AC00BA"/>
    <w:rsid w:val="00AC1286"/>
    <w:rsid w:val="00AC18A5"/>
    <w:rsid w:val="00AC226E"/>
    <w:rsid w:val="00AC24FC"/>
    <w:rsid w:val="00AC3625"/>
    <w:rsid w:val="00AC413D"/>
    <w:rsid w:val="00AC4932"/>
    <w:rsid w:val="00AC5075"/>
    <w:rsid w:val="00AC556E"/>
    <w:rsid w:val="00AC5746"/>
    <w:rsid w:val="00AC5921"/>
    <w:rsid w:val="00AC61AE"/>
    <w:rsid w:val="00AC7162"/>
    <w:rsid w:val="00AC7A76"/>
    <w:rsid w:val="00AC7C13"/>
    <w:rsid w:val="00AC7F2A"/>
    <w:rsid w:val="00AD0149"/>
    <w:rsid w:val="00AD0F3A"/>
    <w:rsid w:val="00AD1062"/>
    <w:rsid w:val="00AD106A"/>
    <w:rsid w:val="00AD2E0D"/>
    <w:rsid w:val="00AD3E52"/>
    <w:rsid w:val="00AD43A5"/>
    <w:rsid w:val="00AD59F0"/>
    <w:rsid w:val="00AD5EF1"/>
    <w:rsid w:val="00AE0902"/>
    <w:rsid w:val="00AE0C34"/>
    <w:rsid w:val="00AE0D2F"/>
    <w:rsid w:val="00AE1FF7"/>
    <w:rsid w:val="00AE22F0"/>
    <w:rsid w:val="00AE2E2F"/>
    <w:rsid w:val="00AE48AC"/>
    <w:rsid w:val="00AE5FF3"/>
    <w:rsid w:val="00AE602E"/>
    <w:rsid w:val="00AE6509"/>
    <w:rsid w:val="00AE6D7F"/>
    <w:rsid w:val="00AE7360"/>
    <w:rsid w:val="00AE74E2"/>
    <w:rsid w:val="00AF00C3"/>
    <w:rsid w:val="00AF0F68"/>
    <w:rsid w:val="00AF280E"/>
    <w:rsid w:val="00AF43EB"/>
    <w:rsid w:val="00AF452F"/>
    <w:rsid w:val="00AF4B4E"/>
    <w:rsid w:val="00AF4B88"/>
    <w:rsid w:val="00AF5556"/>
    <w:rsid w:val="00AF60DC"/>
    <w:rsid w:val="00AF6CE8"/>
    <w:rsid w:val="00B01F2A"/>
    <w:rsid w:val="00B02E25"/>
    <w:rsid w:val="00B04780"/>
    <w:rsid w:val="00B0559B"/>
    <w:rsid w:val="00B060E7"/>
    <w:rsid w:val="00B0662D"/>
    <w:rsid w:val="00B076D6"/>
    <w:rsid w:val="00B07DD5"/>
    <w:rsid w:val="00B103A5"/>
    <w:rsid w:val="00B10A3B"/>
    <w:rsid w:val="00B10F37"/>
    <w:rsid w:val="00B11055"/>
    <w:rsid w:val="00B1144C"/>
    <w:rsid w:val="00B125B9"/>
    <w:rsid w:val="00B12E0A"/>
    <w:rsid w:val="00B14217"/>
    <w:rsid w:val="00B14478"/>
    <w:rsid w:val="00B14774"/>
    <w:rsid w:val="00B16263"/>
    <w:rsid w:val="00B1633E"/>
    <w:rsid w:val="00B17CFB"/>
    <w:rsid w:val="00B17DDC"/>
    <w:rsid w:val="00B2058A"/>
    <w:rsid w:val="00B21F21"/>
    <w:rsid w:val="00B22412"/>
    <w:rsid w:val="00B25169"/>
    <w:rsid w:val="00B27CDE"/>
    <w:rsid w:val="00B351A3"/>
    <w:rsid w:val="00B37D27"/>
    <w:rsid w:val="00B37FB8"/>
    <w:rsid w:val="00B41520"/>
    <w:rsid w:val="00B42026"/>
    <w:rsid w:val="00B42420"/>
    <w:rsid w:val="00B42586"/>
    <w:rsid w:val="00B42CCE"/>
    <w:rsid w:val="00B445E1"/>
    <w:rsid w:val="00B44ADC"/>
    <w:rsid w:val="00B44B8F"/>
    <w:rsid w:val="00B45441"/>
    <w:rsid w:val="00B464B9"/>
    <w:rsid w:val="00B46CB7"/>
    <w:rsid w:val="00B50001"/>
    <w:rsid w:val="00B50B69"/>
    <w:rsid w:val="00B51B8F"/>
    <w:rsid w:val="00B52956"/>
    <w:rsid w:val="00B52CBD"/>
    <w:rsid w:val="00B53480"/>
    <w:rsid w:val="00B56C13"/>
    <w:rsid w:val="00B57734"/>
    <w:rsid w:val="00B60564"/>
    <w:rsid w:val="00B632FD"/>
    <w:rsid w:val="00B647F2"/>
    <w:rsid w:val="00B6484E"/>
    <w:rsid w:val="00B64A89"/>
    <w:rsid w:val="00B65CD5"/>
    <w:rsid w:val="00B66697"/>
    <w:rsid w:val="00B66DF2"/>
    <w:rsid w:val="00B66FAB"/>
    <w:rsid w:val="00B67726"/>
    <w:rsid w:val="00B700B1"/>
    <w:rsid w:val="00B71E05"/>
    <w:rsid w:val="00B72CDF"/>
    <w:rsid w:val="00B73147"/>
    <w:rsid w:val="00B73B8E"/>
    <w:rsid w:val="00B745DC"/>
    <w:rsid w:val="00B75605"/>
    <w:rsid w:val="00B76CA3"/>
    <w:rsid w:val="00B76E33"/>
    <w:rsid w:val="00B77E52"/>
    <w:rsid w:val="00B80611"/>
    <w:rsid w:val="00B81969"/>
    <w:rsid w:val="00B82AFD"/>
    <w:rsid w:val="00B837B1"/>
    <w:rsid w:val="00B858DB"/>
    <w:rsid w:val="00B872E3"/>
    <w:rsid w:val="00B90B22"/>
    <w:rsid w:val="00B91E6A"/>
    <w:rsid w:val="00B92151"/>
    <w:rsid w:val="00B9308B"/>
    <w:rsid w:val="00B934A3"/>
    <w:rsid w:val="00B93ECD"/>
    <w:rsid w:val="00B949F3"/>
    <w:rsid w:val="00B95B0B"/>
    <w:rsid w:val="00B96763"/>
    <w:rsid w:val="00B975ED"/>
    <w:rsid w:val="00B97A4B"/>
    <w:rsid w:val="00B97C3F"/>
    <w:rsid w:val="00B97F5B"/>
    <w:rsid w:val="00B97FD5"/>
    <w:rsid w:val="00BA0ECB"/>
    <w:rsid w:val="00BA13F1"/>
    <w:rsid w:val="00BA1C93"/>
    <w:rsid w:val="00BA388D"/>
    <w:rsid w:val="00BA4EFB"/>
    <w:rsid w:val="00BA5E34"/>
    <w:rsid w:val="00BA6FEB"/>
    <w:rsid w:val="00BA72C4"/>
    <w:rsid w:val="00BA7F57"/>
    <w:rsid w:val="00BB0568"/>
    <w:rsid w:val="00BB1E12"/>
    <w:rsid w:val="00BB269E"/>
    <w:rsid w:val="00BB3A23"/>
    <w:rsid w:val="00BB48D2"/>
    <w:rsid w:val="00BB4C46"/>
    <w:rsid w:val="00BB5133"/>
    <w:rsid w:val="00BB5BF8"/>
    <w:rsid w:val="00BB6AB3"/>
    <w:rsid w:val="00BB6BD9"/>
    <w:rsid w:val="00BB789A"/>
    <w:rsid w:val="00BC016F"/>
    <w:rsid w:val="00BC03DD"/>
    <w:rsid w:val="00BC191F"/>
    <w:rsid w:val="00BC1A0F"/>
    <w:rsid w:val="00BC318B"/>
    <w:rsid w:val="00BC53DC"/>
    <w:rsid w:val="00BD0FB2"/>
    <w:rsid w:val="00BD1461"/>
    <w:rsid w:val="00BD1B68"/>
    <w:rsid w:val="00BD47EB"/>
    <w:rsid w:val="00BD7761"/>
    <w:rsid w:val="00BD7BDD"/>
    <w:rsid w:val="00BE090B"/>
    <w:rsid w:val="00BE09FD"/>
    <w:rsid w:val="00BE25B4"/>
    <w:rsid w:val="00BE33CC"/>
    <w:rsid w:val="00BE3B31"/>
    <w:rsid w:val="00BE6580"/>
    <w:rsid w:val="00BE749C"/>
    <w:rsid w:val="00BF09F7"/>
    <w:rsid w:val="00BF0AEB"/>
    <w:rsid w:val="00BF23AC"/>
    <w:rsid w:val="00BF2EBB"/>
    <w:rsid w:val="00BF3CDE"/>
    <w:rsid w:val="00BF45D5"/>
    <w:rsid w:val="00BF4AF0"/>
    <w:rsid w:val="00BF4C2D"/>
    <w:rsid w:val="00C00777"/>
    <w:rsid w:val="00C008B8"/>
    <w:rsid w:val="00C009FF"/>
    <w:rsid w:val="00C02B0C"/>
    <w:rsid w:val="00C03304"/>
    <w:rsid w:val="00C03365"/>
    <w:rsid w:val="00C03ECF"/>
    <w:rsid w:val="00C05634"/>
    <w:rsid w:val="00C0628F"/>
    <w:rsid w:val="00C062F0"/>
    <w:rsid w:val="00C063C6"/>
    <w:rsid w:val="00C0652F"/>
    <w:rsid w:val="00C10925"/>
    <w:rsid w:val="00C10C3D"/>
    <w:rsid w:val="00C11AD4"/>
    <w:rsid w:val="00C127E0"/>
    <w:rsid w:val="00C12BD3"/>
    <w:rsid w:val="00C13ED5"/>
    <w:rsid w:val="00C160BB"/>
    <w:rsid w:val="00C20929"/>
    <w:rsid w:val="00C2287E"/>
    <w:rsid w:val="00C23719"/>
    <w:rsid w:val="00C25146"/>
    <w:rsid w:val="00C253D0"/>
    <w:rsid w:val="00C2678B"/>
    <w:rsid w:val="00C27FF3"/>
    <w:rsid w:val="00C317BD"/>
    <w:rsid w:val="00C320ED"/>
    <w:rsid w:val="00C32253"/>
    <w:rsid w:val="00C33503"/>
    <w:rsid w:val="00C33DBE"/>
    <w:rsid w:val="00C33EEE"/>
    <w:rsid w:val="00C35031"/>
    <w:rsid w:val="00C3513E"/>
    <w:rsid w:val="00C35971"/>
    <w:rsid w:val="00C35A61"/>
    <w:rsid w:val="00C37DB8"/>
    <w:rsid w:val="00C40D9D"/>
    <w:rsid w:val="00C40DD6"/>
    <w:rsid w:val="00C41F86"/>
    <w:rsid w:val="00C44299"/>
    <w:rsid w:val="00C45551"/>
    <w:rsid w:val="00C4683C"/>
    <w:rsid w:val="00C47C07"/>
    <w:rsid w:val="00C50A54"/>
    <w:rsid w:val="00C50C11"/>
    <w:rsid w:val="00C51028"/>
    <w:rsid w:val="00C510C3"/>
    <w:rsid w:val="00C52048"/>
    <w:rsid w:val="00C53576"/>
    <w:rsid w:val="00C53C49"/>
    <w:rsid w:val="00C5781F"/>
    <w:rsid w:val="00C61F3B"/>
    <w:rsid w:val="00C6527B"/>
    <w:rsid w:val="00C71C49"/>
    <w:rsid w:val="00C7405D"/>
    <w:rsid w:val="00C749A1"/>
    <w:rsid w:val="00C7530A"/>
    <w:rsid w:val="00C75638"/>
    <w:rsid w:val="00C76671"/>
    <w:rsid w:val="00C76673"/>
    <w:rsid w:val="00C76888"/>
    <w:rsid w:val="00C81174"/>
    <w:rsid w:val="00C81841"/>
    <w:rsid w:val="00C8344F"/>
    <w:rsid w:val="00C848FA"/>
    <w:rsid w:val="00C85DAF"/>
    <w:rsid w:val="00C86870"/>
    <w:rsid w:val="00C8752C"/>
    <w:rsid w:val="00C87A62"/>
    <w:rsid w:val="00C93615"/>
    <w:rsid w:val="00C95971"/>
    <w:rsid w:val="00C959E3"/>
    <w:rsid w:val="00CA5C57"/>
    <w:rsid w:val="00CA6008"/>
    <w:rsid w:val="00CA70C2"/>
    <w:rsid w:val="00CA746D"/>
    <w:rsid w:val="00CA75D6"/>
    <w:rsid w:val="00CB00DB"/>
    <w:rsid w:val="00CB05DB"/>
    <w:rsid w:val="00CB1C38"/>
    <w:rsid w:val="00CB24B8"/>
    <w:rsid w:val="00CB2795"/>
    <w:rsid w:val="00CB302D"/>
    <w:rsid w:val="00CB324C"/>
    <w:rsid w:val="00CB421F"/>
    <w:rsid w:val="00CB4A9D"/>
    <w:rsid w:val="00CB6B32"/>
    <w:rsid w:val="00CC0664"/>
    <w:rsid w:val="00CC0960"/>
    <w:rsid w:val="00CC0A1F"/>
    <w:rsid w:val="00CC1019"/>
    <w:rsid w:val="00CC1F77"/>
    <w:rsid w:val="00CC46C8"/>
    <w:rsid w:val="00CC59DA"/>
    <w:rsid w:val="00CC691B"/>
    <w:rsid w:val="00CC74DB"/>
    <w:rsid w:val="00CD3C20"/>
    <w:rsid w:val="00CD60D8"/>
    <w:rsid w:val="00CD6D3B"/>
    <w:rsid w:val="00CE3C01"/>
    <w:rsid w:val="00CE4C08"/>
    <w:rsid w:val="00CE565E"/>
    <w:rsid w:val="00CE7465"/>
    <w:rsid w:val="00CE7995"/>
    <w:rsid w:val="00CE7E8F"/>
    <w:rsid w:val="00CF0556"/>
    <w:rsid w:val="00CF09A2"/>
    <w:rsid w:val="00CF16A5"/>
    <w:rsid w:val="00CF1AA6"/>
    <w:rsid w:val="00CF206B"/>
    <w:rsid w:val="00CF650F"/>
    <w:rsid w:val="00CF7F4A"/>
    <w:rsid w:val="00D007CE"/>
    <w:rsid w:val="00D00AAA"/>
    <w:rsid w:val="00D0268C"/>
    <w:rsid w:val="00D043FA"/>
    <w:rsid w:val="00D04880"/>
    <w:rsid w:val="00D04BC1"/>
    <w:rsid w:val="00D04BD5"/>
    <w:rsid w:val="00D057FC"/>
    <w:rsid w:val="00D0713A"/>
    <w:rsid w:val="00D1010A"/>
    <w:rsid w:val="00D10789"/>
    <w:rsid w:val="00D11315"/>
    <w:rsid w:val="00D147A6"/>
    <w:rsid w:val="00D205E3"/>
    <w:rsid w:val="00D20F0D"/>
    <w:rsid w:val="00D210B4"/>
    <w:rsid w:val="00D248AB"/>
    <w:rsid w:val="00D25433"/>
    <w:rsid w:val="00D254CC"/>
    <w:rsid w:val="00D260D1"/>
    <w:rsid w:val="00D26A49"/>
    <w:rsid w:val="00D30BAD"/>
    <w:rsid w:val="00D3148B"/>
    <w:rsid w:val="00D3160B"/>
    <w:rsid w:val="00D31C65"/>
    <w:rsid w:val="00D33724"/>
    <w:rsid w:val="00D33857"/>
    <w:rsid w:val="00D33E82"/>
    <w:rsid w:val="00D3423A"/>
    <w:rsid w:val="00D3460C"/>
    <w:rsid w:val="00D36FB4"/>
    <w:rsid w:val="00D401B4"/>
    <w:rsid w:val="00D40B4E"/>
    <w:rsid w:val="00D40DE8"/>
    <w:rsid w:val="00D414AD"/>
    <w:rsid w:val="00D42BCA"/>
    <w:rsid w:val="00D43836"/>
    <w:rsid w:val="00D4614C"/>
    <w:rsid w:val="00D471A7"/>
    <w:rsid w:val="00D501CF"/>
    <w:rsid w:val="00D5050E"/>
    <w:rsid w:val="00D50B90"/>
    <w:rsid w:val="00D50FC0"/>
    <w:rsid w:val="00D515E2"/>
    <w:rsid w:val="00D5193D"/>
    <w:rsid w:val="00D51B08"/>
    <w:rsid w:val="00D52151"/>
    <w:rsid w:val="00D55825"/>
    <w:rsid w:val="00D55B65"/>
    <w:rsid w:val="00D56C97"/>
    <w:rsid w:val="00D57370"/>
    <w:rsid w:val="00D5740A"/>
    <w:rsid w:val="00D5745F"/>
    <w:rsid w:val="00D576CE"/>
    <w:rsid w:val="00D60F77"/>
    <w:rsid w:val="00D61217"/>
    <w:rsid w:val="00D613D7"/>
    <w:rsid w:val="00D620BF"/>
    <w:rsid w:val="00D64BB6"/>
    <w:rsid w:val="00D65FCA"/>
    <w:rsid w:val="00D66A57"/>
    <w:rsid w:val="00D66C85"/>
    <w:rsid w:val="00D70106"/>
    <w:rsid w:val="00D70672"/>
    <w:rsid w:val="00D70821"/>
    <w:rsid w:val="00D70995"/>
    <w:rsid w:val="00D70C73"/>
    <w:rsid w:val="00D7239B"/>
    <w:rsid w:val="00D72524"/>
    <w:rsid w:val="00D72AD6"/>
    <w:rsid w:val="00D73B56"/>
    <w:rsid w:val="00D74742"/>
    <w:rsid w:val="00D76241"/>
    <w:rsid w:val="00D7638C"/>
    <w:rsid w:val="00D8090F"/>
    <w:rsid w:val="00D820E1"/>
    <w:rsid w:val="00D835E5"/>
    <w:rsid w:val="00D86489"/>
    <w:rsid w:val="00D87187"/>
    <w:rsid w:val="00D910CB"/>
    <w:rsid w:val="00D929C6"/>
    <w:rsid w:val="00D95D0D"/>
    <w:rsid w:val="00DA0287"/>
    <w:rsid w:val="00DA18B7"/>
    <w:rsid w:val="00DA2DF6"/>
    <w:rsid w:val="00DA2E38"/>
    <w:rsid w:val="00DA5E60"/>
    <w:rsid w:val="00DA75BD"/>
    <w:rsid w:val="00DA78F0"/>
    <w:rsid w:val="00DB0BCC"/>
    <w:rsid w:val="00DB17A9"/>
    <w:rsid w:val="00DB3401"/>
    <w:rsid w:val="00DB5435"/>
    <w:rsid w:val="00DB6077"/>
    <w:rsid w:val="00DB6571"/>
    <w:rsid w:val="00DB6A53"/>
    <w:rsid w:val="00DB78E1"/>
    <w:rsid w:val="00DB7EDF"/>
    <w:rsid w:val="00DC0BB7"/>
    <w:rsid w:val="00DC21BB"/>
    <w:rsid w:val="00DC3595"/>
    <w:rsid w:val="00DC525E"/>
    <w:rsid w:val="00DC6C16"/>
    <w:rsid w:val="00DC7165"/>
    <w:rsid w:val="00DC750C"/>
    <w:rsid w:val="00DC77FB"/>
    <w:rsid w:val="00DD3A9A"/>
    <w:rsid w:val="00DD72E3"/>
    <w:rsid w:val="00DE0218"/>
    <w:rsid w:val="00DE2589"/>
    <w:rsid w:val="00DE3F20"/>
    <w:rsid w:val="00DE5284"/>
    <w:rsid w:val="00DE5AFD"/>
    <w:rsid w:val="00DE6A94"/>
    <w:rsid w:val="00DE6DBD"/>
    <w:rsid w:val="00DF004A"/>
    <w:rsid w:val="00DF0585"/>
    <w:rsid w:val="00DF07CE"/>
    <w:rsid w:val="00DF0B8A"/>
    <w:rsid w:val="00DF0CA4"/>
    <w:rsid w:val="00DF178B"/>
    <w:rsid w:val="00DF350C"/>
    <w:rsid w:val="00DF4A52"/>
    <w:rsid w:val="00DF574F"/>
    <w:rsid w:val="00DF5D6F"/>
    <w:rsid w:val="00DF5E6E"/>
    <w:rsid w:val="00DF7E87"/>
    <w:rsid w:val="00E01609"/>
    <w:rsid w:val="00E04F26"/>
    <w:rsid w:val="00E1006F"/>
    <w:rsid w:val="00E14285"/>
    <w:rsid w:val="00E14BF3"/>
    <w:rsid w:val="00E1515F"/>
    <w:rsid w:val="00E15CF2"/>
    <w:rsid w:val="00E172D4"/>
    <w:rsid w:val="00E17AEA"/>
    <w:rsid w:val="00E2403C"/>
    <w:rsid w:val="00E24C48"/>
    <w:rsid w:val="00E2576C"/>
    <w:rsid w:val="00E25F02"/>
    <w:rsid w:val="00E27ADF"/>
    <w:rsid w:val="00E3002C"/>
    <w:rsid w:val="00E30793"/>
    <w:rsid w:val="00E307DE"/>
    <w:rsid w:val="00E31F20"/>
    <w:rsid w:val="00E3239A"/>
    <w:rsid w:val="00E3383D"/>
    <w:rsid w:val="00E3409C"/>
    <w:rsid w:val="00E352EB"/>
    <w:rsid w:val="00E35376"/>
    <w:rsid w:val="00E35598"/>
    <w:rsid w:val="00E37CE0"/>
    <w:rsid w:val="00E4093A"/>
    <w:rsid w:val="00E4097E"/>
    <w:rsid w:val="00E41279"/>
    <w:rsid w:val="00E41EFA"/>
    <w:rsid w:val="00E42F0B"/>
    <w:rsid w:val="00E44FCC"/>
    <w:rsid w:val="00E4508D"/>
    <w:rsid w:val="00E47857"/>
    <w:rsid w:val="00E52803"/>
    <w:rsid w:val="00E5439D"/>
    <w:rsid w:val="00E543D8"/>
    <w:rsid w:val="00E548BE"/>
    <w:rsid w:val="00E55330"/>
    <w:rsid w:val="00E55417"/>
    <w:rsid w:val="00E55C1A"/>
    <w:rsid w:val="00E5613F"/>
    <w:rsid w:val="00E561A2"/>
    <w:rsid w:val="00E57D0D"/>
    <w:rsid w:val="00E60409"/>
    <w:rsid w:val="00E60E2E"/>
    <w:rsid w:val="00E610A6"/>
    <w:rsid w:val="00E6182C"/>
    <w:rsid w:val="00E628DE"/>
    <w:rsid w:val="00E634C5"/>
    <w:rsid w:val="00E634FE"/>
    <w:rsid w:val="00E63951"/>
    <w:rsid w:val="00E65901"/>
    <w:rsid w:val="00E65A22"/>
    <w:rsid w:val="00E65D79"/>
    <w:rsid w:val="00E66E5B"/>
    <w:rsid w:val="00E67C99"/>
    <w:rsid w:val="00E7311A"/>
    <w:rsid w:val="00E73E38"/>
    <w:rsid w:val="00E743F4"/>
    <w:rsid w:val="00E817D9"/>
    <w:rsid w:val="00E822EA"/>
    <w:rsid w:val="00E8249B"/>
    <w:rsid w:val="00E83301"/>
    <w:rsid w:val="00E84B85"/>
    <w:rsid w:val="00E85895"/>
    <w:rsid w:val="00E863E5"/>
    <w:rsid w:val="00E911E3"/>
    <w:rsid w:val="00E91402"/>
    <w:rsid w:val="00E91930"/>
    <w:rsid w:val="00E91F99"/>
    <w:rsid w:val="00E92FE3"/>
    <w:rsid w:val="00E939B9"/>
    <w:rsid w:val="00E94D0A"/>
    <w:rsid w:val="00E9754E"/>
    <w:rsid w:val="00EA11FD"/>
    <w:rsid w:val="00EA17F5"/>
    <w:rsid w:val="00EA239F"/>
    <w:rsid w:val="00EA2C2A"/>
    <w:rsid w:val="00EA3B9C"/>
    <w:rsid w:val="00EA502E"/>
    <w:rsid w:val="00EB069B"/>
    <w:rsid w:val="00EB08C3"/>
    <w:rsid w:val="00EB14BB"/>
    <w:rsid w:val="00EB20DD"/>
    <w:rsid w:val="00EB46A1"/>
    <w:rsid w:val="00EB4BAB"/>
    <w:rsid w:val="00EB5C08"/>
    <w:rsid w:val="00EB61BE"/>
    <w:rsid w:val="00EC017E"/>
    <w:rsid w:val="00EC0A00"/>
    <w:rsid w:val="00EC1E61"/>
    <w:rsid w:val="00EC2446"/>
    <w:rsid w:val="00EC4AFA"/>
    <w:rsid w:val="00EC7502"/>
    <w:rsid w:val="00ED034B"/>
    <w:rsid w:val="00ED0666"/>
    <w:rsid w:val="00ED116F"/>
    <w:rsid w:val="00ED1C95"/>
    <w:rsid w:val="00ED39FF"/>
    <w:rsid w:val="00ED4732"/>
    <w:rsid w:val="00ED7737"/>
    <w:rsid w:val="00EE0167"/>
    <w:rsid w:val="00EE17A8"/>
    <w:rsid w:val="00EE198C"/>
    <w:rsid w:val="00EE2E81"/>
    <w:rsid w:val="00EE338E"/>
    <w:rsid w:val="00EE3C3A"/>
    <w:rsid w:val="00EE3E63"/>
    <w:rsid w:val="00EE4C46"/>
    <w:rsid w:val="00EE5601"/>
    <w:rsid w:val="00EE591A"/>
    <w:rsid w:val="00EE6ECD"/>
    <w:rsid w:val="00EE77CF"/>
    <w:rsid w:val="00EF0909"/>
    <w:rsid w:val="00EF125B"/>
    <w:rsid w:val="00EF1925"/>
    <w:rsid w:val="00EF21A3"/>
    <w:rsid w:val="00EF23C0"/>
    <w:rsid w:val="00EF3242"/>
    <w:rsid w:val="00EF380D"/>
    <w:rsid w:val="00EF5ECE"/>
    <w:rsid w:val="00EF6079"/>
    <w:rsid w:val="00EF66FD"/>
    <w:rsid w:val="00EF6A49"/>
    <w:rsid w:val="00F0012C"/>
    <w:rsid w:val="00F004D5"/>
    <w:rsid w:val="00F00744"/>
    <w:rsid w:val="00F01414"/>
    <w:rsid w:val="00F0254A"/>
    <w:rsid w:val="00F0394B"/>
    <w:rsid w:val="00F0411A"/>
    <w:rsid w:val="00F04126"/>
    <w:rsid w:val="00F04E73"/>
    <w:rsid w:val="00F04EE8"/>
    <w:rsid w:val="00F05117"/>
    <w:rsid w:val="00F05365"/>
    <w:rsid w:val="00F053EF"/>
    <w:rsid w:val="00F06954"/>
    <w:rsid w:val="00F06AEE"/>
    <w:rsid w:val="00F0773C"/>
    <w:rsid w:val="00F106FF"/>
    <w:rsid w:val="00F111A0"/>
    <w:rsid w:val="00F11D84"/>
    <w:rsid w:val="00F1256B"/>
    <w:rsid w:val="00F12734"/>
    <w:rsid w:val="00F12D15"/>
    <w:rsid w:val="00F13311"/>
    <w:rsid w:val="00F13B19"/>
    <w:rsid w:val="00F14C78"/>
    <w:rsid w:val="00F16B9D"/>
    <w:rsid w:val="00F1709E"/>
    <w:rsid w:val="00F17F46"/>
    <w:rsid w:val="00F207BE"/>
    <w:rsid w:val="00F2089F"/>
    <w:rsid w:val="00F20BB8"/>
    <w:rsid w:val="00F20D48"/>
    <w:rsid w:val="00F2263A"/>
    <w:rsid w:val="00F22B26"/>
    <w:rsid w:val="00F266F0"/>
    <w:rsid w:val="00F2707D"/>
    <w:rsid w:val="00F306A2"/>
    <w:rsid w:val="00F30E3E"/>
    <w:rsid w:val="00F310DB"/>
    <w:rsid w:val="00F3272F"/>
    <w:rsid w:val="00F32FAC"/>
    <w:rsid w:val="00F33DD6"/>
    <w:rsid w:val="00F34D02"/>
    <w:rsid w:val="00F35972"/>
    <w:rsid w:val="00F35C34"/>
    <w:rsid w:val="00F36C13"/>
    <w:rsid w:val="00F41033"/>
    <w:rsid w:val="00F423B1"/>
    <w:rsid w:val="00F42E9D"/>
    <w:rsid w:val="00F441E0"/>
    <w:rsid w:val="00F442C9"/>
    <w:rsid w:val="00F45981"/>
    <w:rsid w:val="00F46015"/>
    <w:rsid w:val="00F46684"/>
    <w:rsid w:val="00F50606"/>
    <w:rsid w:val="00F50898"/>
    <w:rsid w:val="00F5179D"/>
    <w:rsid w:val="00F52ADD"/>
    <w:rsid w:val="00F55351"/>
    <w:rsid w:val="00F56EBD"/>
    <w:rsid w:val="00F6039A"/>
    <w:rsid w:val="00F608B6"/>
    <w:rsid w:val="00F60B36"/>
    <w:rsid w:val="00F62102"/>
    <w:rsid w:val="00F63469"/>
    <w:rsid w:val="00F63793"/>
    <w:rsid w:val="00F639EE"/>
    <w:rsid w:val="00F65229"/>
    <w:rsid w:val="00F6527F"/>
    <w:rsid w:val="00F6531A"/>
    <w:rsid w:val="00F65CAE"/>
    <w:rsid w:val="00F65D16"/>
    <w:rsid w:val="00F66A84"/>
    <w:rsid w:val="00F714D2"/>
    <w:rsid w:val="00F72EDE"/>
    <w:rsid w:val="00F747E1"/>
    <w:rsid w:val="00F74E4A"/>
    <w:rsid w:val="00F75368"/>
    <w:rsid w:val="00F75B24"/>
    <w:rsid w:val="00F77FC5"/>
    <w:rsid w:val="00F810F2"/>
    <w:rsid w:val="00F81A82"/>
    <w:rsid w:val="00F81C32"/>
    <w:rsid w:val="00F822DC"/>
    <w:rsid w:val="00F82C38"/>
    <w:rsid w:val="00F82FE4"/>
    <w:rsid w:val="00F874E1"/>
    <w:rsid w:val="00F87B62"/>
    <w:rsid w:val="00F87DD6"/>
    <w:rsid w:val="00F90532"/>
    <w:rsid w:val="00F90698"/>
    <w:rsid w:val="00F91C17"/>
    <w:rsid w:val="00F929B4"/>
    <w:rsid w:val="00F92DE6"/>
    <w:rsid w:val="00F9454D"/>
    <w:rsid w:val="00F95756"/>
    <w:rsid w:val="00F95D23"/>
    <w:rsid w:val="00FA0DA1"/>
    <w:rsid w:val="00FA1014"/>
    <w:rsid w:val="00FA191A"/>
    <w:rsid w:val="00FA3213"/>
    <w:rsid w:val="00FA3412"/>
    <w:rsid w:val="00FA5450"/>
    <w:rsid w:val="00FA7694"/>
    <w:rsid w:val="00FA7BD2"/>
    <w:rsid w:val="00FA7FA5"/>
    <w:rsid w:val="00FB0835"/>
    <w:rsid w:val="00FB1FC3"/>
    <w:rsid w:val="00FB2BC7"/>
    <w:rsid w:val="00FB473C"/>
    <w:rsid w:val="00FB5F65"/>
    <w:rsid w:val="00FB6873"/>
    <w:rsid w:val="00FB752E"/>
    <w:rsid w:val="00FC0037"/>
    <w:rsid w:val="00FC10B0"/>
    <w:rsid w:val="00FC2A37"/>
    <w:rsid w:val="00FC2BFB"/>
    <w:rsid w:val="00FC2F3B"/>
    <w:rsid w:val="00FC3008"/>
    <w:rsid w:val="00FC463B"/>
    <w:rsid w:val="00FC4FDE"/>
    <w:rsid w:val="00FC6524"/>
    <w:rsid w:val="00FC67B3"/>
    <w:rsid w:val="00FC6F51"/>
    <w:rsid w:val="00FC749E"/>
    <w:rsid w:val="00FC7BFC"/>
    <w:rsid w:val="00FC7DC6"/>
    <w:rsid w:val="00FD0C1C"/>
    <w:rsid w:val="00FD1DDA"/>
    <w:rsid w:val="00FD2E5D"/>
    <w:rsid w:val="00FD364D"/>
    <w:rsid w:val="00FD39E7"/>
    <w:rsid w:val="00FD4D6B"/>
    <w:rsid w:val="00FD50AC"/>
    <w:rsid w:val="00FD51C5"/>
    <w:rsid w:val="00FD577D"/>
    <w:rsid w:val="00FD5D3C"/>
    <w:rsid w:val="00FD60D8"/>
    <w:rsid w:val="00FD62A3"/>
    <w:rsid w:val="00FD70E3"/>
    <w:rsid w:val="00FD74AD"/>
    <w:rsid w:val="00FE03A6"/>
    <w:rsid w:val="00FE0A7B"/>
    <w:rsid w:val="00FE0BD7"/>
    <w:rsid w:val="00FE10B2"/>
    <w:rsid w:val="00FE10F6"/>
    <w:rsid w:val="00FE1CCF"/>
    <w:rsid w:val="00FE3096"/>
    <w:rsid w:val="00FE3323"/>
    <w:rsid w:val="00FE35F2"/>
    <w:rsid w:val="00FE4547"/>
    <w:rsid w:val="00FE4567"/>
    <w:rsid w:val="00FE471D"/>
    <w:rsid w:val="00FE5D4F"/>
    <w:rsid w:val="00FF154E"/>
    <w:rsid w:val="00FF2A61"/>
    <w:rsid w:val="00FF4912"/>
    <w:rsid w:val="00FF5339"/>
    <w:rsid w:val="00FF5C98"/>
    <w:rsid w:val="00FF6D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2"/>
    </o:shapelayout>
  </w:shapeDefaults>
  <w:decimalSymbol w:val="."/>
  <w:listSeparator w:val=";"/>
  <w14:docId w14:val="63A86430"/>
  <w15:chartTrackingRefBased/>
  <w15:docId w15:val="{E70BB744-8D39-4BB4-9906-76408615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rsid w:val="00872DEA"/>
    <w:pPr>
      <w:bidi/>
      <w:spacing w:line="216" w:lineRule="auto"/>
      <w:ind w:firstLine="284"/>
      <w:jc w:val="lowKashida"/>
    </w:pPr>
    <w:rPr>
      <w:rFonts w:cs="B Lotus"/>
      <w:sz w:val="28"/>
      <w:szCs w:val="28"/>
    </w:rPr>
  </w:style>
  <w:style w:type="paragraph" w:styleId="10">
    <w:name w:val="heading 1"/>
    <w:aliases w:val="Title,تیتر اول"/>
    <w:basedOn w:val="a3"/>
    <w:link w:val="1Char"/>
    <w:uiPriority w:val="9"/>
    <w:qFormat/>
    <w:rsid w:val="00872DE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aliases w:val="الفصل,العنوان 2"/>
    <w:basedOn w:val="10"/>
    <w:link w:val="2Char"/>
    <w:qFormat/>
    <w:rsid w:val="00481D39"/>
    <w:pPr>
      <w:bidi/>
      <w:jc w:val="center"/>
      <w:outlineLvl w:val="1"/>
    </w:pPr>
    <w:rPr>
      <w:rFonts w:cs="Sultan Medium"/>
      <w:b w:val="0"/>
      <w:bCs w:val="0"/>
      <w:sz w:val="50"/>
      <w:szCs w:val="50"/>
      <w:lang w:bidi="ar-IQ"/>
    </w:rPr>
  </w:style>
  <w:style w:type="paragraph" w:styleId="3">
    <w:name w:val="heading 3"/>
    <w:aliases w:val=" Char4,Char"/>
    <w:basedOn w:val="a3"/>
    <w:link w:val="3Char"/>
    <w:uiPriority w:val="9"/>
    <w:qFormat/>
    <w:rsid w:val="00872DE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3"/>
    <w:link w:val="4Char"/>
    <w:uiPriority w:val="9"/>
    <w:qFormat/>
    <w:rsid w:val="00872DEA"/>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3"/>
    <w:link w:val="5Char"/>
    <w:uiPriority w:val="9"/>
    <w:qFormat/>
    <w:rsid w:val="00872DEA"/>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0">
    <w:name w:val="heading 6"/>
    <w:aliases w:val="6"/>
    <w:basedOn w:val="a3"/>
    <w:next w:val="a3"/>
    <w:link w:val="6Char"/>
    <w:rsid w:val="00394233"/>
    <w:pPr>
      <w:keepNext/>
      <w:spacing w:line="14" w:lineRule="atLeast"/>
      <w:outlineLvl w:val="5"/>
    </w:pPr>
    <w:rPr>
      <w:rFonts w:ascii="Times New Roman" w:eastAsia="Times New Roman" w:hAnsi="Times New Roman" w:cs="Times New Roman"/>
      <w:bCs/>
      <w:sz w:val="20"/>
      <w:szCs w:val="20"/>
      <w:lang w:val="x-none" w:eastAsia="x-none"/>
    </w:rPr>
  </w:style>
  <w:style w:type="paragraph" w:styleId="7">
    <w:name w:val="heading 7"/>
    <w:basedOn w:val="a3"/>
    <w:next w:val="a3"/>
    <w:link w:val="7Char"/>
    <w:uiPriority w:val="9"/>
    <w:unhideWhenUsed/>
    <w:qFormat/>
    <w:rsid w:val="00394233"/>
    <w:pPr>
      <w:keepNext/>
      <w:keepLines/>
      <w:spacing w:before="200" w:line="240" w:lineRule="auto"/>
      <w:outlineLvl w:val="6"/>
    </w:pPr>
    <w:rPr>
      <w:rFonts w:ascii="Cambria" w:eastAsia="Times New Roman" w:hAnsi="Cambria" w:cs="Times New Roman"/>
      <w:i/>
      <w:iCs/>
      <w:color w:val="404040"/>
      <w:sz w:val="24"/>
      <w:lang w:val="x-none" w:eastAsia="x-none" w:bidi="fa-IR"/>
    </w:rPr>
  </w:style>
  <w:style w:type="paragraph" w:styleId="8">
    <w:name w:val="heading 8"/>
    <w:basedOn w:val="a3"/>
    <w:next w:val="a3"/>
    <w:link w:val="8Char"/>
    <w:uiPriority w:val="9"/>
    <w:unhideWhenUsed/>
    <w:qFormat/>
    <w:rsid w:val="00394233"/>
    <w:pPr>
      <w:keepNext/>
      <w:keepLines/>
      <w:spacing w:before="200" w:line="240" w:lineRule="auto"/>
      <w:outlineLvl w:val="7"/>
    </w:pPr>
    <w:rPr>
      <w:rFonts w:ascii="Cambria" w:eastAsia="Times New Roman" w:hAnsi="Cambria" w:cs="Times New Roman"/>
      <w:color w:val="404040"/>
      <w:sz w:val="20"/>
      <w:szCs w:val="20"/>
      <w:lang w:val="x-none" w:eastAsia="x-none" w:bidi="fa-IR"/>
    </w:rPr>
  </w:style>
  <w:style w:type="paragraph" w:styleId="9">
    <w:name w:val="heading 9"/>
    <w:basedOn w:val="a3"/>
    <w:next w:val="a3"/>
    <w:link w:val="9Char"/>
    <w:unhideWhenUsed/>
    <w:rsid w:val="00875A46"/>
    <w:pPr>
      <w:keepNext/>
      <w:keepLines/>
      <w:spacing w:before="40" w:line="259" w:lineRule="auto"/>
      <w:ind w:left="1584" w:hanging="1584"/>
      <w:jc w:val="left"/>
      <w:outlineLvl w:val="8"/>
    </w:pPr>
    <w:rPr>
      <w:rFonts w:ascii="Calibri Light" w:eastAsia="Times New Roman" w:hAnsi="Calibri Light" w:cs="Times New Roman"/>
      <w:i/>
      <w:iCs/>
      <w:color w:val="272727"/>
      <w:sz w:val="21"/>
      <w:szCs w:val="21"/>
      <w:lang w:bidi="fa-IR"/>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العنوان 1 Char"/>
    <w:aliases w:val="تیتر اول Char,العنوان Char"/>
    <w:link w:val="10"/>
    <w:uiPriority w:val="9"/>
    <w:rsid w:val="00872DEA"/>
    <w:rPr>
      <w:rFonts w:ascii="Times New Roman" w:eastAsia="Times New Roman" w:hAnsi="Times New Roman" w:cs="Times New Roman"/>
      <w:b/>
      <w:bCs/>
      <w:kern w:val="36"/>
      <w:sz w:val="48"/>
      <w:szCs w:val="48"/>
    </w:rPr>
  </w:style>
  <w:style w:type="character" w:customStyle="1" w:styleId="2Char">
    <w:name w:val="عنوان 2 Char"/>
    <w:aliases w:val="الفصل Char,العنوان 2 Char"/>
    <w:link w:val="20"/>
    <w:rsid w:val="00481D39"/>
    <w:rPr>
      <w:rFonts w:ascii="Times New Roman" w:eastAsia="Times New Roman" w:hAnsi="Times New Roman" w:cs="Sultan Medium"/>
      <w:kern w:val="36"/>
      <w:sz w:val="50"/>
      <w:szCs w:val="50"/>
      <w:lang w:bidi="ar-IQ"/>
    </w:rPr>
  </w:style>
  <w:style w:type="character" w:customStyle="1" w:styleId="3Char">
    <w:name w:val="عنوان 3 Char"/>
    <w:aliases w:val=" Char4 Char,Char Char"/>
    <w:link w:val="3"/>
    <w:uiPriority w:val="9"/>
    <w:rsid w:val="00872DEA"/>
    <w:rPr>
      <w:rFonts w:ascii="Times New Roman" w:eastAsia="Times New Roman" w:hAnsi="Times New Roman" w:cs="Times New Roman"/>
      <w:b/>
      <w:bCs/>
      <w:sz w:val="27"/>
      <w:szCs w:val="27"/>
    </w:rPr>
  </w:style>
  <w:style w:type="character" w:customStyle="1" w:styleId="4Char">
    <w:name w:val="عنوان 4 Char"/>
    <w:link w:val="4"/>
    <w:uiPriority w:val="9"/>
    <w:rsid w:val="00872DEA"/>
    <w:rPr>
      <w:rFonts w:ascii="Times New Roman" w:eastAsia="Times New Roman" w:hAnsi="Times New Roman" w:cs="Times New Roman"/>
      <w:b/>
      <w:bCs/>
      <w:sz w:val="24"/>
      <w:szCs w:val="24"/>
    </w:rPr>
  </w:style>
  <w:style w:type="character" w:customStyle="1" w:styleId="5Char">
    <w:name w:val="عنوان 5 Char"/>
    <w:link w:val="5"/>
    <w:uiPriority w:val="9"/>
    <w:rsid w:val="00872DEA"/>
    <w:rPr>
      <w:rFonts w:ascii="Times New Roman" w:eastAsia="Times New Roman" w:hAnsi="Times New Roman" w:cs="Times New Roman"/>
      <w:b/>
      <w:bCs/>
      <w:sz w:val="20"/>
      <w:szCs w:val="20"/>
    </w:rPr>
  </w:style>
  <w:style w:type="character" w:customStyle="1" w:styleId="Char">
    <w:name w:val="نص حاشية سفلية Char"/>
    <w:aliases w:val="پاورقي Char,پاورقی Char Char Char Char Char Char Char Char Char Char Char Char Char Char Char Char Char Char Char Char Char Char Char Char Char Char Char,متن پاورقی Char, Char Char Char Char,متن زيرنويس Char,Char3 Char, Char1 Char"/>
    <w:link w:val="a7"/>
    <w:rsid w:val="0070201E"/>
    <w:rPr>
      <w:rFonts w:ascii="Times New Roman" w:eastAsia="Times New Roman" w:hAnsi="Times New Roman" w:cs="B Lotus"/>
      <w:sz w:val="24"/>
      <w:szCs w:val="24"/>
    </w:rPr>
  </w:style>
  <w:style w:type="paragraph" w:styleId="a7">
    <w:name w:val="footnote text"/>
    <w:aliases w:val="پاورقي,پاورقی Char Char Char Char Char Char Char Char Char Char Char Char Char Char Char Char Char Char Char Char Char Char Char Char Char Char,متن پاورقی, Char Char Char,متن زيرنويس,Char3, Char1,Char1,نص حاشية سفلية1 Char,نص حاشية سفلية1"/>
    <w:basedOn w:val="a3"/>
    <w:link w:val="Char"/>
    <w:unhideWhenUsed/>
    <w:qFormat/>
    <w:rsid w:val="0070201E"/>
    <w:pPr>
      <w:tabs>
        <w:tab w:val="right" w:pos="149"/>
        <w:tab w:val="right" w:pos="716"/>
      </w:tabs>
      <w:spacing w:line="240" w:lineRule="auto"/>
      <w:ind w:left="288" w:hanging="288"/>
    </w:pPr>
    <w:rPr>
      <w:rFonts w:ascii="Times New Roman" w:eastAsia="Times New Roman" w:hAnsi="Times New Roman"/>
      <w:sz w:val="24"/>
      <w:szCs w:val="24"/>
    </w:rPr>
  </w:style>
  <w:style w:type="character" w:customStyle="1" w:styleId="FootnoteTextChar1">
    <w:name w:val="Footnote Text Char1"/>
    <w:aliases w:val="Footnote Text Char Char,Footnote Text Char Char1,نص حاشية سفلية1 Char Char2,نص حاشية سفلية1 Char3,Footnote Text Char Char Char Char Char1,پا ورقي Char Char1,پا ورقي Char Char Char1,حاشية Char,حاشية Char Char Char Char Char Char Char"/>
    <w:rsid w:val="00872DEA"/>
    <w:rPr>
      <w:rFonts w:cs="B Lotus"/>
      <w:sz w:val="20"/>
      <w:szCs w:val="20"/>
    </w:rPr>
  </w:style>
  <w:style w:type="paragraph" w:styleId="a8">
    <w:name w:val="Normal (Web)"/>
    <w:basedOn w:val="a3"/>
    <w:link w:val="Char0"/>
    <w:uiPriority w:val="99"/>
    <w:unhideWhenUsed/>
    <w:qFormat/>
    <w:rsid w:val="00872DE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aliases w:val=" Char"/>
    <w:basedOn w:val="a3"/>
    <w:link w:val="Char1"/>
    <w:uiPriority w:val="99"/>
    <w:unhideWhenUsed/>
    <w:rsid w:val="00872DEA"/>
    <w:pPr>
      <w:spacing w:line="240" w:lineRule="auto"/>
    </w:pPr>
    <w:rPr>
      <w:rFonts w:ascii="Tahoma" w:hAnsi="Tahoma" w:cs="Tahoma"/>
      <w:sz w:val="16"/>
      <w:szCs w:val="16"/>
    </w:rPr>
  </w:style>
  <w:style w:type="character" w:customStyle="1" w:styleId="Char1">
    <w:name w:val="نص في بالون Char"/>
    <w:aliases w:val=" Char Char"/>
    <w:link w:val="a9"/>
    <w:uiPriority w:val="99"/>
    <w:rsid w:val="00872DEA"/>
    <w:rPr>
      <w:rFonts w:ascii="Tahoma" w:hAnsi="Tahoma" w:cs="Tahoma"/>
      <w:sz w:val="16"/>
      <w:szCs w:val="16"/>
    </w:rPr>
  </w:style>
  <w:style w:type="paragraph" w:customStyle="1" w:styleId="aa">
    <w:name w:val="تیتر"/>
    <w:basedOn w:val="a3"/>
    <w:qFormat/>
    <w:rsid w:val="00872DEA"/>
    <w:pPr>
      <w:spacing w:before="120" w:after="120" w:line="240" w:lineRule="auto"/>
      <w:ind w:firstLine="0"/>
      <w:jc w:val="both"/>
    </w:pPr>
    <w:rPr>
      <w:rFonts w:ascii="Times New Roman" w:eastAsia="Times New Roman" w:hAnsi="Times New Roman" w:cs="B Titr"/>
      <w:b/>
      <w:bCs/>
      <w:sz w:val="32"/>
      <w:szCs w:val="32"/>
    </w:rPr>
  </w:style>
  <w:style w:type="paragraph" w:customStyle="1" w:styleId="ab">
    <w:name w:val="بدون تورفتگی"/>
    <w:basedOn w:val="a3"/>
    <w:link w:val="Char2"/>
    <w:uiPriority w:val="99"/>
    <w:qFormat/>
    <w:rsid w:val="00D5193D"/>
    <w:pPr>
      <w:widowControl w:val="0"/>
      <w:spacing w:line="276" w:lineRule="auto"/>
      <w:ind w:firstLine="0"/>
    </w:pPr>
    <w:rPr>
      <w:rFonts w:eastAsia="Times New Roman"/>
    </w:rPr>
  </w:style>
  <w:style w:type="character" w:styleId="Hyperlink">
    <w:name w:val="Hyperlink"/>
    <w:uiPriority w:val="99"/>
    <w:unhideWhenUsed/>
    <w:rsid w:val="00872DEA"/>
    <w:rPr>
      <w:color w:val="0000FF"/>
      <w:u w:val="single"/>
    </w:rPr>
  </w:style>
  <w:style w:type="paragraph" w:customStyle="1" w:styleId="ac">
    <w:name w:val="با تورفتگی"/>
    <w:basedOn w:val="a3"/>
    <w:link w:val="Char3"/>
    <w:qFormat/>
    <w:rsid w:val="0030643D"/>
    <w:pPr>
      <w:widowControl w:val="0"/>
      <w:spacing w:line="276" w:lineRule="auto"/>
    </w:pPr>
    <w:rPr>
      <w:rFonts w:eastAsia="Times New Roman"/>
    </w:rPr>
  </w:style>
  <w:style w:type="paragraph" w:customStyle="1" w:styleId="ad">
    <w:name w:val="عربی"/>
    <w:basedOn w:val="a3"/>
    <w:link w:val="Char4"/>
    <w:rsid w:val="000F59AA"/>
    <w:pPr>
      <w:spacing w:before="120" w:after="120"/>
      <w:ind w:left="851" w:right="284" w:firstLine="0"/>
    </w:pPr>
    <w:rPr>
      <w:rFonts w:ascii="Saihat" w:hAnsi="Saihat" w:cs="Saihat"/>
      <w:b/>
      <w:bCs/>
      <w:lang w:bidi="fa-IR"/>
    </w:rPr>
  </w:style>
  <w:style w:type="paragraph" w:customStyle="1" w:styleId="ae">
    <w:name w:val="عربی ترجمه"/>
    <w:basedOn w:val="a3"/>
    <w:rsid w:val="00872DEA"/>
    <w:pPr>
      <w:spacing w:after="80"/>
      <w:ind w:left="851" w:right="284" w:firstLine="0"/>
    </w:pPr>
    <w:rPr>
      <w:rFonts w:cs="B Zar"/>
      <w:sz w:val="26"/>
      <w:szCs w:val="26"/>
    </w:rPr>
  </w:style>
  <w:style w:type="paragraph" w:customStyle="1" w:styleId="a0">
    <w:name w:val="المبحث"/>
    <w:basedOn w:val="aa"/>
    <w:qFormat/>
    <w:rsid w:val="00C253D0"/>
    <w:pPr>
      <w:numPr>
        <w:ilvl w:val="1"/>
        <w:numId w:val="5"/>
      </w:numPr>
      <w:spacing w:before="240"/>
      <w:jc w:val="lowKashida"/>
    </w:pPr>
    <w:rPr>
      <w:rFonts w:cs="Sultan bold"/>
      <w:bCs w:val="0"/>
      <w:sz w:val="28"/>
      <w:szCs w:val="36"/>
      <w:lang w:bidi="ar-IQ"/>
    </w:rPr>
  </w:style>
  <w:style w:type="paragraph" w:styleId="af">
    <w:name w:val="List Paragraph"/>
    <w:basedOn w:val="a3"/>
    <w:link w:val="Char5"/>
    <w:uiPriority w:val="34"/>
    <w:qFormat/>
    <w:rsid w:val="00872DEA"/>
    <w:pPr>
      <w:ind w:left="720"/>
      <w:contextualSpacing/>
    </w:pPr>
  </w:style>
  <w:style w:type="character" w:styleId="af0">
    <w:name w:val="footnote reference"/>
    <w:aliases w:val="شماره زيرنويس"/>
    <w:unhideWhenUsed/>
    <w:qFormat/>
    <w:rsid w:val="00872DEA"/>
    <w:rPr>
      <w:vertAlign w:val="superscript"/>
    </w:rPr>
  </w:style>
  <w:style w:type="paragraph" w:customStyle="1" w:styleId="af1">
    <w:name w:val="پاورقی"/>
    <w:basedOn w:val="a7"/>
    <w:qFormat/>
    <w:rsid w:val="00AC61AE"/>
    <w:pPr>
      <w:spacing w:line="216" w:lineRule="auto"/>
      <w:ind w:left="170" w:hanging="170"/>
    </w:pPr>
    <w:rPr>
      <w:lang w:bidi="fa-IR"/>
    </w:rPr>
  </w:style>
  <w:style w:type="paragraph" w:customStyle="1" w:styleId="a1">
    <w:name w:val="المطلب"/>
    <w:basedOn w:val="a0"/>
    <w:qFormat/>
    <w:rsid w:val="00E67C99"/>
    <w:pPr>
      <w:numPr>
        <w:ilvl w:val="2"/>
      </w:numPr>
      <w:spacing w:line="276" w:lineRule="auto"/>
      <w:jc w:val="left"/>
    </w:pPr>
    <w:rPr>
      <w:sz w:val="26"/>
      <w:szCs w:val="32"/>
    </w:rPr>
  </w:style>
  <w:style w:type="character" w:styleId="af2">
    <w:name w:val="FollowedHyperlink"/>
    <w:uiPriority w:val="99"/>
    <w:unhideWhenUsed/>
    <w:rsid w:val="00872DEA"/>
    <w:rPr>
      <w:color w:val="800080"/>
      <w:u w:val="single"/>
    </w:rPr>
  </w:style>
  <w:style w:type="character" w:customStyle="1" w:styleId="black">
    <w:name w:val="black"/>
    <w:basedOn w:val="a4"/>
    <w:rsid w:val="00872DEA"/>
  </w:style>
  <w:style w:type="character" w:customStyle="1" w:styleId="tools-pdf">
    <w:name w:val="tools-pdf"/>
    <w:basedOn w:val="a4"/>
    <w:rsid w:val="00872DEA"/>
  </w:style>
  <w:style w:type="character" w:customStyle="1" w:styleId="apple-converted-space">
    <w:name w:val="apple-converted-space"/>
    <w:basedOn w:val="a4"/>
    <w:rsid w:val="00872DEA"/>
  </w:style>
  <w:style w:type="character" w:customStyle="1" w:styleId="edittpc">
    <w:name w:val="edit_tpc"/>
    <w:basedOn w:val="a4"/>
    <w:rsid w:val="00872DEA"/>
  </w:style>
  <w:style w:type="character" w:customStyle="1" w:styleId="outlink">
    <w:name w:val="outlink"/>
    <w:basedOn w:val="a4"/>
    <w:rsid w:val="00872DEA"/>
  </w:style>
  <w:style w:type="character" w:styleId="af3">
    <w:name w:val="annotation reference"/>
    <w:uiPriority w:val="99"/>
    <w:semiHidden/>
    <w:unhideWhenUsed/>
    <w:rsid w:val="00872DEA"/>
    <w:rPr>
      <w:sz w:val="16"/>
      <w:szCs w:val="16"/>
    </w:rPr>
  </w:style>
  <w:style w:type="paragraph" w:styleId="af4">
    <w:name w:val="annotation text"/>
    <w:basedOn w:val="a3"/>
    <w:link w:val="Char6"/>
    <w:uiPriority w:val="99"/>
    <w:unhideWhenUsed/>
    <w:rsid w:val="00872DEA"/>
    <w:pPr>
      <w:spacing w:line="240" w:lineRule="auto"/>
    </w:pPr>
    <w:rPr>
      <w:sz w:val="20"/>
      <w:szCs w:val="20"/>
    </w:rPr>
  </w:style>
  <w:style w:type="character" w:customStyle="1" w:styleId="Char6">
    <w:name w:val="نص تعليق Char"/>
    <w:link w:val="af4"/>
    <w:uiPriority w:val="99"/>
    <w:rsid w:val="00872DEA"/>
    <w:rPr>
      <w:rFonts w:cs="B Lotus"/>
      <w:sz w:val="20"/>
      <w:szCs w:val="20"/>
    </w:rPr>
  </w:style>
  <w:style w:type="paragraph" w:styleId="af5">
    <w:name w:val="annotation subject"/>
    <w:basedOn w:val="af4"/>
    <w:next w:val="af4"/>
    <w:link w:val="Char7"/>
    <w:uiPriority w:val="99"/>
    <w:semiHidden/>
    <w:unhideWhenUsed/>
    <w:rsid w:val="00872DEA"/>
    <w:rPr>
      <w:b/>
      <w:bCs/>
    </w:rPr>
  </w:style>
  <w:style w:type="character" w:customStyle="1" w:styleId="Char7">
    <w:name w:val="موضوع تعليق Char"/>
    <w:link w:val="af5"/>
    <w:uiPriority w:val="99"/>
    <w:semiHidden/>
    <w:rsid w:val="00872DEA"/>
    <w:rPr>
      <w:rFonts w:cs="B Lotus"/>
      <w:b/>
      <w:bCs/>
      <w:sz w:val="20"/>
      <w:szCs w:val="20"/>
    </w:rPr>
  </w:style>
  <w:style w:type="paragraph" w:styleId="af6">
    <w:name w:val="endnote text"/>
    <w:basedOn w:val="a3"/>
    <w:link w:val="Char8"/>
    <w:uiPriority w:val="99"/>
    <w:unhideWhenUsed/>
    <w:rsid w:val="00872DEA"/>
    <w:pPr>
      <w:spacing w:line="240" w:lineRule="auto"/>
    </w:pPr>
    <w:rPr>
      <w:sz w:val="20"/>
      <w:szCs w:val="20"/>
    </w:rPr>
  </w:style>
  <w:style w:type="character" w:customStyle="1" w:styleId="Char8">
    <w:name w:val="نص تعليق ختامي Char"/>
    <w:link w:val="af6"/>
    <w:uiPriority w:val="99"/>
    <w:rsid w:val="00872DEA"/>
    <w:rPr>
      <w:rFonts w:cs="B Lotus"/>
      <w:sz w:val="20"/>
      <w:szCs w:val="20"/>
    </w:rPr>
  </w:style>
  <w:style w:type="character" w:styleId="af7">
    <w:name w:val="endnote reference"/>
    <w:uiPriority w:val="99"/>
    <w:unhideWhenUsed/>
    <w:rsid w:val="00872DEA"/>
    <w:rPr>
      <w:vertAlign w:val="superscript"/>
    </w:rPr>
  </w:style>
  <w:style w:type="paragraph" w:styleId="21">
    <w:name w:val="toc 2"/>
    <w:basedOn w:val="a3"/>
    <w:next w:val="a3"/>
    <w:autoRedefine/>
    <w:uiPriority w:val="39"/>
    <w:unhideWhenUsed/>
    <w:qFormat/>
    <w:rsid w:val="00047F04"/>
    <w:pPr>
      <w:tabs>
        <w:tab w:val="right" w:leader="dot" w:pos="8777"/>
      </w:tabs>
      <w:ind w:left="280"/>
      <w:jc w:val="left"/>
    </w:pPr>
    <w:rPr>
      <w:rFonts w:ascii="Lotus Linotype" w:hAnsi="Lotus Linotype" w:cs="Lotus Linotype"/>
      <w:b/>
      <w:bCs/>
      <w:smallCaps/>
      <w:noProof/>
      <w:sz w:val="24"/>
      <w:szCs w:val="32"/>
      <w:lang w:bidi="ar-IQ"/>
    </w:rPr>
  </w:style>
  <w:style w:type="paragraph" w:styleId="11">
    <w:name w:val="toc 1"/>
    <w:basedOn w:val="a3"/>
    <w:next w:val="a3"/>
    <w:link w:val="1Char0"/>
    <w:autoRedefine/>
    <w:uiPriority w:val="39"/>
    <w:unhideWhenUsed/>
    <w:qFormat/>
    <w:rsid w:val="00D33724"/>
    <w:pPr>
      <w:tabs>
        <w:tab w:val="right" w:leader="dot" w:pos="8777"/>
      </w:tabs>
      <w:spacing w:before="120" w:after="120"/>
      <w:jc w:val="center"/>
    </w:pPr>
    <w:rPr>
      <w:rFonts w:ascii="Lotus Linotype" w:hAnsi="Lotus Linotype" w:cs="Lotus Linotype"/>
      <w:b/>
      <w:bCs/>
      <w:caps/>
      <w:noProof/>
      <w:sz w:val="24"/>
      <w:szCs w:val="32"/>
      <w:lang w:bidi="ar-IQ"/>
    </w:rPr>
  </w:style>
  <w:style w:type="paragraph" w:styleId="30">
    <w:name w:val="toc 3"/>
    <w:basedOn w:val="a3"/>
    <w:next w:val="a3"/>
    <w:autoRedefine/>
    <w:uiPriority w:val="39"/>
    <w:unhideWhenUsed/>
    <w:qFormat/>
    <w:rsid w:val="00B934A3"/>
    <w:pPr>
      <w:tabs>
        <w:tab w:val="right" w:leader="dot" w:pos="8777"/>
      </w:tabs>
      <w:ind w:left="560"/>
      <w:jc w:val="left"/>
    </w:pPr>
    <w:rPr>
      <w:rFonts w:ascii="Lotus Linotype" w:hAnsi="Lotus Linotype" w:cs="Lotus Linotype"/>
      <w:b/>
      <w:bCs/>
      <w:i/>
      <w:iCs/>
      <w:noProof/>
      <w:sz w:val="20"/>
      <w:szCs w:val="24"/>
      <w:lang w:bidi="ar-IQ"/>
    </w:rPr>
  </w:style>
  <w:style w:type="paragraph" w:styleId="40">
    <w:name w:val="toc 4"/>
    <w:basedOn w:val="a3"/>
    <w:next w:val="a3"/>
    <w:autoRedefine/>
    <w:uiPriority w:val="39"/>
    <w:unhideWhenUsed/>
    <w:rsid w:val="00C320ED"/>
    <w:pPr>
      <w:tabs>
        <w:tab w:val="right" w:leader="dot" w:pos="8777"/>
      </w:tabs>
      <w:ind w:left="840"/>
      <w:jc w:val="left"/>
    </w:pPr>
    <w:rPr>
      <w:rFonts w:cs="Times New Roman"/>
      <w:noProof/>
      <w:sz w:val="20"/>
      <w:szCs w:val="22"/>
      <w:lang w:bidi="ar-IQ"/>
    </w:rPr>
  </w:style>
  <w:style w:type="paragraph" w:styleId="50">
    <w:name w:val="toc 5"/>
    <w:basedOn w:val="a3"/>
    <w:next w:val="a3"/>
    <w:autoRedefine/>
    <w:uiPriority w:val="39"/>
    <w:unhideWhenUsed/>
    <w:rsid w:val="00872DEA"/>
    <w:pPr>
      <w:ind w:left="1120"/>
      <w:jc w:val="left"/>
    </w:pPr>
    <w:rPr>
      <w:rFonts w:cs="Times New Roman"/>
      <w:sz w:val="18"/>
      <w:szCs w:val="21"/>
    </w:rPr>
  </w:style>
  <w:style w:type="paragraph" w:styleId="61">
    <w:name w:val="toc 6"/>
    <w:basedOn w:val="a3"/>
    <w:next w:val="a3"/>
    <w:autoRedefine/>
    <w:uiPriority w:val="39"/>
    <w:unhideWhenUsed/>
    <w:rsid w:val="00872DEA"/>
    <w:pPr>
      <w:ind w:left="1400"/>
      <w:jc w:val="left"/>
    </w:pPr>
    <w:rPr>
      <w:rFonts w:cs="Times New Roman"/>
      <w:sz w:val="18"/>
      <w:szCs w:val="21"/>
    </w:rPr>
  </w:style>
  <w:style w:type="paragraph" w:styleId="70">
    <w:name w:val="toc 7"/>
    <w:basedOn w:val="a3"/>
    <w:next w:val="a3"/>
    <w:autoRedefine/>
    <w:uiPriority w:val="39"/>
    <w:unhideWhenUsed/>
    <w:rsid w:val="00872DEA"/>
    <w:pPr>
      <w:ind w:left="1680"/>
      <w:jc w:val="left"/>
    </w:pPr>
    <w:rPr>
      <w:rFonts w:cs="Times New Roman"/>
      <w:sz w:val="18"/>
      <w:szCs w:val="21"/>
    </w:rPr>
  </w:style>
  <w:style w:type="paragraph" w:styleId="80">
    <w:name w:val="toc 8"/>
    <w:basedOn w:val="a3"/>
    <w:next w:val="a3"/>
    <w:autoRedefine/>
    <w:uiPriority w:val="39"/>
    <w:unhideWhenUsed/>
    <w:rsid w:val="00872DEA"/>
    <w:pPr>
      <w:ind w:left="1960"/>
      <w:jc w:val="left"/>
    </w:pPr>
    <w:rPr>
      <w:rFonts w:cs="Times New Roman"/>
      <w:sz w:val="18"/>
      <w:szCs w:val="21"/>
    </w:rPr>
  </w:style>
  <w:style w:type="paragraph" w:styleId="90">
    <w:name w:val="toc 9"/>
    <w:basedOn w:val="a3"/>
    <w:next w:val="a3"/>
    <w:autoRedefine/>
    <w:uiPriority w:val="39"/>
    <w:unhideWhenUsed/>
    <w:rsid w:val="00872DEA"/>
    <w:pPr>
      <w:ind w:left="2240"/>
      <w:jc w:val="left"/>
    </w:pPr>
    <w:rPr>
      <w:rFonts w:cs="Times New Roman"/>
      <w:sz w:val="18"/>
      <w:szCs w:val="21"/>
    </w:rPr>
  </w:style>
  <w:style w:type="paragraph" w:customStyle="1" w:styleId="af8">
    <w:name w:val="الفرع"/>
    <w:basedOn w:val="ab"/>
    <w:link w:val="Char9"/>
    <w:qFormat/>
    <w:rsid w:val="00052A33"/>
    <w:pPr>
      <w:spacing w:before="240" w:after="80"/>
    </w:pPr>
    <w:rPr>
      <w:rFonts w:cs="Sultan bold"/>
      <w:b/>
      <w:sz w:val="26"/>
    </w:rPr>
  </w:style>
  <w:style w:type="paragraph" w:styleId="af9">
    <w:name w:val="header"/>
    <w:aliases w:val=" Char3"/>
    <w:basedOn w:val="a3"/>
    <w:link w:val="Chara"/>
    <w:uiPriority w:val="99"/>
    <w:unhideWhenUsed/>
    <w:rsid w:val="00872DEA"/>
    <w:pPr>
      <w:tabs>
        <w:tab w:val="center" w:pos="4513"/>
        <w:tab w:val="right" w:pos="9026"/>
      </w:tabs>
      <w:spacing w:line="240" w:lineRule="auto"/>
    </w:pPr>
  </w:style>
  <w:style w:type="character" w:customStyle="1" w:styleId="Chara">
    <w:name w:val="رأس الصفحة Char"/>
    <w:aliases w:val=" Char3 Char"/>
    <w:link w:val="af9"/>
    <w:uiPriority w:val="99"/>
    <w:rsid w:val="00872DEA"/>
    <w:rPr>
      <w:rFonts w:cs="B Lotus"/>
      <w:sz w:val="28"/>
      <w:szCs w:val="28"/>
    </w:rPr>
  </w:style>
  <w:style w:type="paragraph" w:styleId="afa">
    <w:name w:val="footer"/>
    <w:aliases w:val="gg, Char2"/>
    <w:basedOn w:val="a3"/>
    <w:link w:val="Charb"/>
    <w:uiPriority w:val="99"/>
    <w:unhideWhenUsed/>
    <w:rsid w:val="00872DEA"/>
    <w:pPr>
      <w:tabs>
        <w:tab w:val="center" w:pos="4513"/>
        <w:tab w:val="right" w:pos="9026"/>
      </w:tabs>
      <w:spacing w:line="240" w:lineRule="auto"/>
    </w:pPr>
  </w:style>
  <w:style w:type="character" w:customStyle="1" w:styleId="Charb">
    <w:name w:val="تذييل الصفحة Char"/>
    <w:aliases w:val="gg Char, Char2 Char"/>
    <w:link w:val="afa"/>
    <w:uiPriority w:val="99"/>
    <w:rsid w:val="00872DEA"/>
    <w:rPr>
      <w:rFonts w:cs="B Lotus"/>
      <w:sz w:val="28"/>
      <w:szCs w:val="28"/>
    </w:rPr>
  </w:style>
  <w:style w:type="paragraph" w:customStyle="1" w:styleId="FootnoteText1">
    <w:name w:val="Footnote Text1"/>
    <w:basedOn w:val="a3"/>
    <w:next w:val="a7"/>
    <w:uiPriority w:val="99"/>
    <w:semiHidden/>
    <w:unhideWhenUsed/>
    <w:rsid w:val="00872DEA"/>
    <w:pPr>
      <w:bidi w:val="0"/>
      <w:spacing w:line="240" w:lineRule="auto"/>
      <w:ind w:firstLine="0"/>
      <w:jc w:val="left"/>
    </w:pPr>
    <w:rPr>
      <w:rFonts w:cs="Arial"/>
      <w:sz w:val="20"/>
      <w:szCs w:val="20"/>
      <w:lang w:bidi="fa-IR"/>
    </w:rPr>
  </w:style>
  <w:style w:type="numbering" w:customStyle="1" w:styleId="NoList3">
    <w:name w:val="No List3"/>
    <w:next w:val="a6"/>
    <w:uiPriority w:val="99"/>
    <w:semiHidden/>
    <w:unhideWhenUsed/>
    <w:rsid w:val="00BF4C2D"/>
  </w:style>
  <w:style w:type="paragraph" w:customStyle="1" w:styleId="41">
    <w:name w:val="تیت4"/>
    <w:basedOn w:val="af8"/>
    <w:qFormat/>
    <w:rsid w:val="00872DEA"/>
    <w:rPr>
      <w:lang w:bidi="fa-IR"/>
    </w:rPr>
  </w:style>
  <w:style w:type="paragraph" w:customStyle="1" w:styleId="ListParagraph1">
    <w:name w:val="List Paragraph1"/>
    <w:basedOn w:val="a3"/>
    <w:next w:val="af"/>
    <w:uiPriority w:val="34"/>
    <w:rsid w:val="00872DEA"/>
    <w:pPr>
      <w:bidi w:val="0"/>
      <w:spacing w:after="160" w:line="259" w:lineRule="auto"/>
      <w:ind w:left="720" w:firstLine="0"/>
      <w:contextualSpacing/>
      <w:jc w:val="left"/>
    </w:pPr>
    <w:rPr>
      <w:rFonts w:cs="Arial"/>
      <w:sz w:val="22"/>
      <w:szCs w:val="22"/>
    </w:rPr>
  </w:style>
  <w:style w:type="paragraph" w:styleId="afb">
    <w:name w:val="TOC Heading"/>
    <w:basedOn w:val="10"/>
    <w:next w:val="a3"/>
    <w:uiPriority w:val="39"/>
    <w:unhideWhenUsed/>
    <w:qFormat/>
    <w:rsid w:val="00872DEA"/>
    <w:pPr>
      <w:keepNext/>
      <w:keepLines/>
      <w:spacing w:before="480" w:beforeAutospacing="0" w:after="0" w:afterAutospacing="0" w:line="276" w:lineRule="auto"/>
      <w:ind w:firstLine="0"/>
      <w:jc w:val="left"/>
      <w:outlineLvl w:val="9"/>
    </w:pPr>
    <w:rPr>
      <w:rFonts w:ascii="Cambria" w:hAnsi="Cambria"/>
      <w:color w:val="365F91"/>
      <w:kern w:val="0"/>
      <w:sz w:val="28"/>
      <w:szCs w:val="28"/>
      <w:lang w:eastAsia="ja-JP"/>
    </w:rPr>
  </w:style>
  <w:style w:type="paragraph" w:customStyle="1" w:styleId="51">
    <w:name w:val="تیت5"/>
    <w:basedOn w:val="41"/>
    <w:qFormat/>
    <w:rsid w:val="00872DEA"/>
    <w:rPr>
      <w:shd w:val="clear" w:color="auto" w:fill="FFFFFF"/>
    </w:rPr>
  </w:style>
  <w:style w:type="paragraph" w:customStyle="1" w:styleId="rtejustify">
    <w:name w:val="rtejustify"/>
    <w:basedOn w:val="a3"/>
    <w:uiPriority w:val="99"/>
    <w:rsid w:val="00872DEA"/>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afc">
    <w:name w:val="صفحه عنوان"/>
    <w:basedOn w:val="a3"/>
    <w:rsid w:val="000B6811"/>
    <w:pPr>
      <w:spacing w:after="360" w:line="240" w:lineRule="auto"/>
      <w:ind w:firstLine="0"/>
      <w:jc w:val="center"/>
    </w:pPr>
    <w:rPr>
      <w:rFonts w:ascii="MRT_Poster4" w:hAnsi="MRT_Poster4" w:cs="MRT_Poster_4"/>
      <w:sz w:val="40"/>
      <w:szCs w:val="40"/>
      <w:lang w:bidi="fa-IR"/>
    </w:rPr>
  </w:style>
  <w:style w:type="paragraph" w:customStyle="1" w:styleId="afd">
    <w:name w:val="سر تیتر"/>
    <w:basedOn w:val="a3"/>
    <w:rsid w:val="00872DEA"/>
    <w:pPr>
      <w:spacing w:before="200" w:after="100" w:line="560" w:lineRule="exact"/>
      <w:ind w:firstLine="0"/>
    </w:pPr>
    <w:rPr>
      <w:rFonts w:ascii="B lotus Unc" w:hAnsi="B lotus Unc"/>
      <w:b/>
      <w:bCs/>
      <w:sz w:val="30"/>
      <w:szCs w:val="30"/>
      <w:lang w:bidi="fa-IR"/>
    </w:rPr>
  </w:style>
  <w:style w:type="paragraph" w:customStyle="1" w:styleId="afe">
    <w:name w:val="متن اصلی کتاب"/>
    <w:basedOn w:val="a3"/>
    <w:rsid w:val="00872DEA"/>
    <w:pPr>
      <w:spacing w:line="460" w:lineRule="exact"/>
      <w:jc w:val="both"/>
    </w:pPr>
    <w:rPr>
      <w:rFonts w:ascii="B lotus Unc" w:hAnsi="B lotus Unc" w:cs="B Mitra"/>
      <w:lang w:bidi="fa-IR"/>
    </w:rPr>
  </w:style>
  <w:style w:type="paragraph" w:customStyle="1" w:styleId="12">
    <w:name w:val="صفحه حقوق 1"/>
    <w:basedOn w:val="a3"/>
    <w:rsid w:val="00872DEA"/>
    <w:pPr>
      <w:spacing w:line="180" w:lineRule="auto"/>
      <w:ind w:firstLine="0"/>
      <w:jc w:val="both"/>
    </w:pPr>
    <w:rPr>
      <w:rFonts w:ascii="Times New Roman" w:hAnsi="Times New Roman" w:cs="B Badr"/>
      <w:sz w:val="24"/>
      <w:szCs w:val="24"/>
    </w:rPr>
  </w:style>
  <w:style w:type="paragraph" w:customStyle="1" w:styleId="22">
    <w:name w:val="صفحه حقوق 2"/>
    <w:basedOn w:val="afe"/>
    <w:rsid w:val="00872DEA"/>
    <w:pPr>
      <w:spacing w:line="192" w:lineRule="auto"/>
    </w:pPr>
    <w:rPr>
      <w:rFonts w:cs="B Badr"/>
      <w:b/>
      <w:bCs/>
      <w:sz w:val="24"/>
      <w:szCs w:val="24"/>
    </w:rPr>
  </w:style>
  <w:style w:type="paragraph" w:customStyle="1" w:styleId="31">
    <w:name w:val="صفحه حقوق3"/>
    <w:basedOn w:val="afe"/>
    <w:rsid w:val="00872DEA"/>
    <w:pPr>
      <w:spacing w:line="192" w:lineRule="auto"/>
      <w:jc w:val="left"/>
    </w:pPr>
    <w:rPr>
      <w:rFonts w:cs="B Badr"/>
      <w:sz w:val="22"/>
      <w:szCs w:val="22"/>
    </w:rPr>
  </w:style>
  <w:style w:type="paragraph" w:customStyle="1" w:styleId="aff">
    <w:name w:val="تتتتتتتت"/>
    <w:basedOn w:val="a3"/>
    <w:rsid w:val="0080590B"/>
    <w:pPr>
      <w:spacing w:after="200" w:line="276" w:lineRule="auto"/>
      <w:ind w:left="-1" w:firstLine="572"/>
      <w:jc w:val="left"/>
    </w:pPr>
    <w:rPr>
      <w:rFonts w:ascii="B Titr" w:hAnsi="B Titr" w:cs="B Titr"/>
      <w:szCs w:val="32"/>
      <w:lang w:bidi="fa-IR"/>
    </w:rPr>
  </w:style>
  <w:style w:type="paragraph" w:customStyle="1" w:styleId="aff0">
    <w:name w:val="روایات"/>
    <w:basedOn w:val="ad"/>
    <w:qFormat/>
    <w:rsid w:val="00F0254A"/>
    <w:pPr>
      <w:spacing w:line="276" w:lineRule="auto"/>
      <w:ind w:right="0"/>
    </w:pPr>
    <w:rPr>
      <w:rFonts w:cs="KFGQPC Uthman Taha Naskh"/>
      <w:sz w:val="26"/>
      <w:szCs w:val="26"/>
    </w:rPr>
  </w:style>
  <w:style w:type="paragraph" w:customStyle="1" w:styleId="aff1">
    <w:name w:val="متن"/>
    <w:basedOn w:val="a3"/>
    <w:link w:val="Charc"/>
    <w:rsid w:val="009B3B10"/>
    <w:pPr>
      <w:widowControl w:val="0"/>
      <w:spacing w:line="240" w:lineRule="auto"/>
      <w:jc w:val="both"/>
    </w:pPr>
    <w:rPr>
      <w:rFonts w:cs="B Badr"/>
      <w:lang w:bidi="fa-IR"/>
    </w:rPr>
  </w:style>
  <w:style w:type="character" w:customStyle="1" w:styleId="6Char">
    <w:name w:val="عنوان 6 Char"/>
    <w:aliases w:val="6 Char"/>
    <w:link w:val="60"/>
    <w:rsid w:val="00394233"/>
    <w:rPr>
      <w:rFonts w:ascii="Times New Roman" w:eastAsia="Times New Roman" w:hAnsi="Times New Roman" w:cs="Times New Roman"/>
      <w:bCs/>
      <w:sz w:val="20"/>
      <w:szCs w:val="20"/>
      <w:lang w:val="x-none" w:eastAsia="x-none"/>
    </w:rPr>
  </w:style>
  <w:style w:type="character" w:customStyle="1" w:styleId="7Char">
    <w:name w:val="عنوان 7 Char"/>
    <w:link w:val="7"/>
    <w:uiPriority w:val="9"/>
    <w:rsid w:val="00394233"/>
    <w:rPr>
      <w:rFonts w:ascii="Cambria" w:eastAsia="Times New Roman" w:hAnsi="Cambria" w:cs="Times New Roman"/>
      <w:i/>
      <w:iCs/>
      <w:color w:val="404040"/>
      <w:sz w:val="24"/>
      <w:szCs w:val="28"/>
      <w:lang w:val="x-none" w:eastAsia="x-none" w:bidi="fa-IR"/>
    </w:rPr>
  </w:style>
  <w:style w:type="character" w:customStyle="1" w:styleId="8Char">
    <w:name w:val="عنوان 8 Char"/>
    <w:link w:val="8"/>
    <w:uiPriority w:val="9"/>
    <w:rsid w:val="00394233"/>
    <w:rPr>
      <w:rFonts w:ascii="Cambria" w:eastAsia="Times New Roman" w:hAnsi="Cambria" w:cs="Times New Roman"/>
      <w:color w:val="404040"/>
      <w:sz w:val="20"/>
      <w:szCs w:val="20"/>
      <w:lang w:val="x-none" w:eastAsia="x-none" w:bidi="fa-IR"/>
    </w:rPr>
  </w:style>
  <w:style w:type="numbering" w:customStyle="1" w:styleId="NoList1">
    <w:name w:val="No List1"/>
    <w:next w:val="a6"/>
    <w:uiPriority w:val="99"/>
    <w:semiHidden/>
    <w:unhideWhenUsed/>
    <w:rsid w:val="00394233"/>
  </w:style>
  <w:style w:type="character" w:styleId="aff2">
    <w:name w:val="Subtle Emphasis"/>
    <w:uiPriority w:val="19"/>
    <w:rsid w:val="00394233"/>
    <w:rPr>
      <w:i/>
      <w:iCs/>
      <w:color w:val="808080"/>
    </w:rPr>
  </w:style>
  <w:style w:type="paragraph" w:customStyle="1" w:styleId="Style1">
    <w:name w:val="Style1"/>
    <w:basedOn w:val="a7"/>
    <w:uiPriority w:val="99"/>
    <w:qFormat/>
    <w:rsid w:val="00394233"/>
    <w:pPr>
      <w:ind w:firstLine="0"/>
      <w:jc w:val="both"/>
    </w:pPr>
    <w:rPr>
      <w:rFonts w:eastAsia="Calibri"/>
      <w:color w:val="0D0D0D"/>
      <w:sz w:val="28"/>
      <w:szCs w:val="28"/>
      <w:lang w:val="x-none" w:eastAsia="x-none" w:bidi="fa-IR"/>
    </w:rPr>
  </w:style>
  <w:style w:type="character" w:styleId="aff3">
    <w:name w:val="Intense Emphasis"/>
    <w:uiPriority w:val="21"/>
    <w:rsid w:val="00394233"/>
    <w:rPr>
      <w:b/>
      <w:bCs/>
      <w:i/>
      <w:iCs/>
      <w:color w:val="4F81BD"/>
    </w:rPr>
  </w:style>
  <w:style w:type="paragraph" w:styleId="aff4">
    <w:name w:val="No Spacing"/>
    <w:aliases w:val="بدر 12 بولد,No Spacing1,متن عربی,آیات"/>
    <w:link w:val="Chard"/>
    <w:uiPriority w:val="1"/>
    <w:qFormat/>
    <w:rsid w:val="00394233"/>
    <w:pPr>
      <w:spacing w:after="200" w:line="276" w:lineRule="auto"/>
      <w:ind w:left="714" w:hanging="357"/>
      <w:jc w:val="right"/>
    </w:pPr>
    <w:rPr>
      <w:rFonts w:ascii="Times New Roman" w:hAnsi="Times New Roman" w:cs="B Nazanin"/>
      <w:sz w:val="24"/>
      <w:szCs w:val="28"/>
      <w:lang w:bidi="fa-IR"/>
    </w:rPr>
  </w:style>
  <w:style w:type="paragraph" w:customStyle="1" w:styleId="Style3">
    <w:name w:val="Style3"/>
    <w:basedOn w:val="a7"/>
    <w:rsid w:val="00394233"/>
    <w:pPr>
      <w:ind w:firstLine="0"/>
      <w:jc w:val="both"/>
    </w:pPr>
    <w:rPr>
      <w:rFonts w:eastAsia="Calibri"/>
      <w:color w:val="0D0D0D"/>
      <w:sz w:val="28"/>
      <w:szCs w:val="28"/>
      <w:lang w:val="x-none" w:eastAsia="x-none" w:bidi="fa-IR"/>
    </w:rPr>
  </w:style>
  <w:style w:type="paragraph" w:styleId="aff5">
    <w:name w:val="Intense Quote"/>
    <w:basedOn w:val="a3"/>
    <w:next w:val="a3"/>
    <w:link w:val="Chare"/>
    <w:uiPriority w:val="30"/>
    <w:rsid w:val="00394233"/>
    <w:pPr>
      <w:pBdr>
        <w:bottom w:val="single" w:sz="4" w:space="4" w:color="4F81BD"/>
      </w:pBdr>
      <w:spacing w:before="200" w:after="280" w:line="240" w:lineRule="auto"/>
      <w:ind w:left="936" w:right="936"/>
    </w:pPr>
    <w:rPr>
      <w:rFonts w:ascii="Times New Roman" w:hAnsi="Times New Roman" w:cs="B Nazanin"/>
      <w:b/>
      <w:bCs/>
      <w:i/>
      <w:iCs/>
      <w:color w:val="4F81BD"/>
      <w:sz w:val="24"/>
      <w:lang w:val="x-none" w:eastAsia="x-none" w:bidi="fa-IR"/>
    </w:rPr>
  </w:style>
  <w:style w:type="character" w:customStyle="1" w:styleId="Chare">
    <w:name w:val="اقتباس مكثف Char"/>
    <w:link w:val="aff5"/>
    <w:uiPriority w:val="30"/>
    <w:rsid w:val="00394233"/>
    <w:rPr>
      <w:rFonts w:ascii="Times New Roman" w:eastAsia="Calibri" w:hAnsi="Times New Roman" w:cs="B Nazanin"/>
      <w:b/>
      <w:bCs/>
      <w:i/>
      <w:iCs/>
      <w:color w:val="4F81BD"/>
      <w:sz w:val="24"/>
      <w:szCs w:val="28"/>
      <w:lang w:val="x-none" w:eastAsia="x-none" w:bidi="fa-IR"/>
    </w:rPr>
  </w:style>
  <w:style w:type="character" w:styleId="aff6">
    <w:name w:val="Subtle Reference"/>
    <w:uiPriority w:val="31"/>
    <w:rsid w:val="00394233"/>
    <w:rPr>
      <w:smallCaps/>
      <w:color w:val="C0504D"/>
      <w:u w:val="single"/>
    </w:rPr>
  </w:style>
  <w:style w:type="paragraph" w:customStyle="1" w:styleId="page">
    <w:name w:val="page"/>
    <w:basedOn w:val="10"/>
    <w:rsid w:val="00394233"/>
    <w:pPr>
      <w:keepNext/>
      <w:bidi/>
      <w:spacing w:before="0" w:beforeAutospacing="0" w:after="0" w:afterAutospacing="0"/>
      <w:ind w:left="57" w:right="57" w:firstLine="0"/>
      <w:jc w:val="center"/>
    </w:pPr>
    <w:rPr>
      <w:rFonts w:cs="B Titr"/>
      <w:kern w:val="32"/>
      <w:sz w:val="44"/>
      <w:szCs w:val="44"/>
      <w:lang w:val="x-none" w:eastAsia="x-none" w:bidi="fa-IR"/>
    </w:rPr>
  </w:style>
  <w:style w:type="paragraph" w:customStyle="1" w:styleId="onvan">
    <w:name w:val="onvan"/>
    <w:basedOn w:val="page"/>
    <w:rsid w:val="00394233"/>
    <w:rPr>
      <w:sz w:val="72"/>
      <w:szCs w:val="72"/>
    </w:rPr>
  </w:style>
  <w:style w:type="paragraph" w:customStyle="1" w:styleId="onvan1">
    <w:name w:val="onvan 1"/>
    <w:basedOn w:val="page"/>
    <w:rsid w:val="00394233"/>
    <w:rPr>
      <w:sz w:val="48"/>
      <w:szCs w:val="48"/>
    </w:rPr>
  </w:style>
  <w:style w:type="paragraph" w:customStyle="1" w:styleId="aff7">
    <w:name w:val="شماره"/>
    <w:basedOn w:val="ac"/>
    <w:link w:val="Charf"/>
    <w:qFormat/>
    <w:rsid w:val="00E5613F"/>
    <w:pPr>
      <w:ind w:left="417" w:hanging="270"/>
    </w:pPr>
    <w:rPr>
      <w:rFonts w:eastAsia="Calibri"/>
      <w:lang w:bidi="fa-IR"/>
    </w:rPr>
  </w:style>
  <w:style w:type="character" w:customStyle="1" w:styleId="Char3">
    <w:name w:val="با تورفتگی Char"/>
    <w:link w:val="ac"/>
    <w:rsid w:val="0030643D"/>
    <w:rPr>
      <w:rFonts w:eastAsia="Times New Roman" w:cs="B Lotus"/>
      <w:sz w:val="28"/>
      <w:szCs w:val="28"/>
    </w:rPr>
  </w:style>
  <w:style w:type="character" w:customStyle="1" w:styleId="Charf">
    <w:name w:val="شماره Char"/>
    <w:link w:val="aff7"/>
    <w:rsid w:val="00E5613F"/>
    <w:rPr>
      <w:rFonts w:ascii="Calibri" w:eastAsia="Calibri" w:hAnsi="Calibri" w:cs="B Lotus"/>
      <w:sz w:val="28"/>
      <w:szCs w:val="28"/>
      <w:lang w:bidi="fa-IR"/>
    </w:rPr>
  </w:style>
  <w:style w:type="paragraph" w:customStyle="1" w:styleId="tarjome">
    <w:name w:val="tarjome"/>
    <w:basedOn w:val="a3"/>
    <w:uiPriority w:val="99"/>
    <w:rsid w:val="002165D5"/>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numbering" w:customStyle="1" w:styleId="NoList2">
    <w:name w:val="No List2"/>
    <w:next w:val="a6"/>
    <w:uiPriority w:val="99"/>
    <w:semiHidden/>
    <w:unhideWhenUsed/>
    <w:rsid w:val="004A268B"/>
  </w:style>
  <w:style w:type="paragraph" w:customStyle="1" w:styleId="aff8">
    <w:name w:val="اول"/>
    <w:basedOn w:val="a3"/>
    <w:link w:val="Charf0"/>
    <w:uiPriority w:val="99"/>
    <w:rsid w:val="004A268B"/>
    <w:pPr>
      <w:spacing w:line="460" w:lineRule="exact"/>
      <w:ind w:firstLine="0"/>
    </w:pPr>
    <w:rPr>
      <w:rFonts w:ascii="Times New Roman" w:eastAsia="Times New Roman" w:hAnsi="Times New Roman" w:cs="Lotus"/>
      <w:sz w:val="22"/>
      <w:lang w:bidi="fa-IR"/>
    </w:rPr>
  </w:style>
  <w:style w:type="character" w:customStyle="1" w:styleId="EndnoteTextChar1">
    <w:name w:val="Endnote Text Char1"/>
    <w:uiPriority w:val="99"/>
    <w:locked/>
    <w:rsid w:val="004A268B"/>
    <w:rPr>
      <w:rFonts w:ascii="B Badr" w:eastAsia="Times New Roman" w:hAnsi="B Badr" w:cs="B Badr"/>
      <w:b/>
      <w:bCs/>
      <w:sz w:val="20"/>
      <w:szCs w:val="20"/>
      <w:lang w:bidi="fa-IR"/>
    </w:rPr>
  </w:style>
  <w:style w:type="character" w:customStyle="1" w:styleId="Charf0">
    <w:name w:val="اول Char"/>
    <w:link w:val="aff8"/>
    <w:uiPriority w:val="99"/>
    <w:locked/>
    <w:rsid w:val="004A268B"/>
    <w:rPr>
      <w:rFonts w:ascii="Times New Roman" w:eastAsia="Times New Roman" w:hAnsi="Times New Roman" w:cs="Lotus"/>
      <w:szCs w:val="28"/>
      <w:lang w:bidi="fa-IR"/>
    </w:rPr>
  </w:style>
  <w:style w:type="paragraph" w:customStyle="1" w:styleId="aff9">
    <w:name w:val="* نقل قول عربی"/>
    <w:basedOn w:val="a3"/>
    <w:link w:val="CharChar"/>
    <w:uiPriority w:val="99"/>
    <w:rsid w:val="004A268B"/>
    <w:pPr>
      <w:spacing w:before="60" w:line="240" w:lineRule="auto"/>
      <w:ind w:left="851" w:firstLine="0"/>
      <w:jc w:val="both"/>
    </w:pPr>
    <w:rPr>
      <w:rFonts w:ascii="B Badr" w:eastAsia="Times New Roman" w:hAnsi="B Badr" w:cs="B Badr"/>
      <w:bCs/>
      <w:sz w:val="24"/>
      <w:lang w:bidi="fa-IR"/>
    </w:rPr>
  </w:style>
  <w:style w:type="paragraph" w:customStyle="1" w:styleId="affa">
    <w:name w:val="* نقل قول فارسی"/>
    <w:basedOn w:val="a3"/>
    <w:link w:val="CharChar0"/>
    <w:uiPriority w:val="99"/>
    <w:rsid w:val="004A268B"/>
    <w:pPr>
      <w:spacing w:before="60" w:line="240" w:lineRule="auto"/>
      <w:ind w:left="851" w:firstLine="0"/>
    </w:pPr>
    <w:rPr>
      <w:rFonts w:ascii="Compset" w:eastAsia="Times New Roman" w:hAnsi="Compset" w:cs="Nazanin"/>
      <w:sz w:val="24"/>
      <w:szCs w:val="26"/>
      <w:lang w:bidi="fa-IR"/>
    </w:rPr>
  </w:style>
  <w:style w:type="character" w:customStyle="1" w:styleId="CharChar0">
    <w:name w:val="* نقل قول فارسی Char Char"/>
    <w:link w:val="affa"/>
    <w:uiPriority w:val="99"/>
    <w:locked/>
    <w:rsid w:val="004A268B"/>
    <w:rPr>
      <w:rFonts w:ascii="Compset" w:eastAsia="Times New Roman" w:hAnsi="Compset" w:cs="Nazanin"/>
      <w:sz w:val="24"/>
      <w:szCs w:val="26"/>
      <w:lang w:bidi="fa-IR"/>
    </w:rPr>
  </w:style>
  <w:style w:type="character" w:customStyle="1" w:styleId="CharChar">
    <w:name w:val="* نقل قول عربی Char Char"/>
    <w:link w:val="aff9"/>
    <w:uiPriority w:val="99"/>
    <w:locked/>
    <w:rsid w:val="004A268B"/>
    <w:rPr>
      <w:rFonts w:ascii="B Badr" w:eastAsia="Times New Roman" w:hAnsi="B Badr" w:cs="B Badr"/>
      <w:bCs/>
      <w:sz w:val="24"/>
      <w:szCs w:val="28"/>
      <w:lang w:bidi="fa-IR"/>
    </w:rPr>
  </w:style>
  <w:style w:type="character" w:customStyle="1" w:styleId="mw-headline">
    <w:name w:val="mw-headline"/>
    <w:basedOn w:val="a4"/>
    <w:rsid w:val="004A268B"/>
  </w:style>
  <w:style w:type="character" w:customStyle="1" w:styleId="mw-editsection">
    <w:name w:val="mw-editsection"/>
    <w:basedOn w:val="a4"/>
    <w:rsid w:val="004A268B"/>
  </w:style>
  <w:style w:type="character" w:customStyle="1" w:styleId="mw-editsection-bracket">
    <w:name w:val="mw-editsection-bracket"/>
    <w:basedOn w:val="a4"/>
    <w:rsid w:val="004A268B"/>
  </w:style>
  <w:style w:type="character" w:customStyle="1" w:styleId="EndnoteTextChar2">
    <w:name w:val="Endnote Text Char2"/>
    <w:uiPriority w:val="99"/>
    <w:locked/>
    <w:rsid w:val="004A268B"/>
    <w:rPr>
      <w:rFonts w:ascii="B Badr" w:eastAsia="Times New Roman" w:hAnsi="B Badr" w:cs="B Badr"/>
      <w:b/>
      <w:bCs/>
      <w:sz w:val="20"/>
      <w:szCs w:val="20"/>
    </w:rPr>
  </w:style>
  <w:style w:type="character" w:styleId="affb">
    <w:name w:val="Strong"/>
    <w:uiPriority w:val="22"/>
    <w:qFormat/>
    <w:rsid w:val="004A268B"/>
    <w:rPr>
      <w:b/>
      <w:bCs/>
    </w:rPr>
  </w:style>
  <w:style w:type="paragraph" w:customStyle="1" w:styleId="text-justify">
    <w:name w:val="text-justify"/>
    <w:basedOn w:val="a3"/>
    <w:rsid w:val="004A268B"/>
    <w:pPr>
      <w:bidi w:val="0"/>
      <w:spacing w:after="150" w:line="240" w:lineRule="auto"/>
      <w:ind w:firstLine="0"/>
      <w:jc w:val="both"/>
    </w:pPr>
    <w:rPr>
      <w:rFonts w:ascii="Times New Roman" w:eastAsia="Times New Roman" w:hAnsi="Times New Roman" w:cs="Times New Roman"/>
      <w:sz w:val="24"/>
      <w:szCs w:val="24"/>
    </w:rPr>
  </w:style>
  <w:style w:type="character" w:customStyle="1" w:styleId="on1">
    <w:name w:val="on1"/>
    <w:rsid w:val="004A268B"/>
    <w:rPr>
      <w:color w:val="129B63"/>
    </w:rPr>
  </w:style>
  <w:style w:type="character" w:customStyle="1" w:styleId="onf1">
    <w:name w:val="onf1"/>
    <w:rsid w:val="004A268B"/>
    <w:rPr>
      <w:color w:val="0C2290"/>
    </w:rPr>
  </w:style>
  <w:style w:type="paragraph" w:customStyle="1" w:styleId="post-meta9">
    <w:name w:val="post-meta9"/>
    <w:basedOn w:val="a3"/>
    <w:rsid w:val="00BF4C2D"/>
    <w:pPr>
      <w:pBdr>
        <w:bottom w:val="single" w:sz="6" w:space="4" w:color="F2F2F2"/>
      </w:pBdr>
      <w:bidi w:val="0"/>
      <w:spacing w:before="75" w:after="150" w:line="240" w:lineRule="auto"/>
      <w:ind w:firstLine="0"/>
      <w:jc w:val="left"/>
    </w:pPr>
    <w:rPr>
      <w:rFonts w:ascii="Times New Roman" w:eastAsia="Times New Roman" w:hAnsi="Times New Roman" w:cs="Times New Roman"/>
      <w:color w:val="AAAAAA"/>
      <w:sz w:val="20"/>
      <w:szCs w:val="20"/>
    </w:rPr>
  </w:style>
  <w:style w:type="character" w:customStyle="1" w:styleId="arab-style">
    <w:name w:val="arab-style"/>
    <w:basedOn w:val="a4"/>
    <w:rsid w:val="004A268B"/>
  </w:style>
  <w:style w:type="character" w:customStyle="1" w:styleId="charf1">
    <w:name w:val="char"/>
    <w:basedOn w:val="a4"/>
    <w:rsid w:val="004A268B"/>
  </w:style>
  <w:style w:type="character" w:customStyle="1" w:styleId="ndate2">
    <w:name w:val="ndate2"/>
    <w:rsid w:val="004A268B"/>
    <w:rPr>
      <w:color w:val="808080"/>
      <w:sz w:val="22"/>
      <w:szCs w:val="22"/>
    </w:rPr>
  </w:style>
  <w:style w:type="character" w:customStyle="1" w:styleId="outlink1">
    <w:name w:val="outlink1"/>
    <w:basedOn w:val="a4"/>
    <w:rsid w:val="004A268B"/>
  </w:style>
  <w:style w:type="paragraph" w:customStyle="1" w:styleId="affc">
    <w:name w:val="نقل قول عربي"/>
    <w:basedOn w:val="a3"/>
    <w:link w:val="Charf2"/>
    <w:rsid w:val="004A268B"/>
    <w:pPr>
      <w:spacing w:before="120" w:after="120"/>
      <w:ind w:left="1701" w:right="284" w:firstLine="567"/>
    </w:pPr>
    <w:rPr>
      <w:rFonts w:ascii="Times New Roman" w:eastAsia="Times New Roman" w:hAnsi="Times New Roman" w:cs="B Badr"/>
      <w:bCs/>
      <w:sz w:val="24"/>
      <w:szCs w:val="32"/>
    </w:rPr>
  </w:style>
  <w:style w:type="character" w:customStyle="1" w:styleId="Charf2">
    <w:name w:val="نقل قول عربي Char"/>
    <w:link w:val="affc"/>
    <w:rsid w:val="004A268B"/>
    <w:rPr>
      <w:rFonts w:ascii="Times New Roman" w:eastAsia="Times New Roman" w:hAnsi="Times New Roman" w:cs="B Badr"/>
      <w:bCs/>
      <w:sz w:val="24"/>
      <w:szCs w:val="32"/>
    </w:rPr>
  </w:style>
  <w:style w:type="paragraph" w:customStyle="1" w:styleId="affd">
    <w:name w:val="نقل قول فارسي"/>
    <w:basedOn w:val="a3"/>
    <w:link w:val="Charf3"/>
    <w:rsid w:val="004A268B"/>
    <w:pPr>
      <w:spacing w:before="120" w:after="120"/>
      <w:ind w:left="1701" w:right="284" w:firstLine="567"/>
    </w:pPr>
    <w:rPr>
      <w:rFonts w:ascii="Times New Roman" w:eastAsia="Times New Roman" w:hAnsi="Times New Roman"/>
      <w:bCs/>
      <w:sz w:val="24"/>
    </w:rPr>
  </w:style>
  <w:style w:type="character" w:customStyle="1" w:styleId="Charf3">
    <w:name w:val="نقل قول فارسي Char"/>
    <w:link w:val="affd"/>
    <w:rsid w:val="004A268B"/>
    <w:rPr>
      <w:rFonts w:ascii="Times New Roman" w:eastAsia="Times New Roman" w:hAnsi="Times New Roman" w:cs="B Lotus"/>
      <w:bCs/>
      <w:sz w:val="24"/>
      <w:szCs w:val="28"/>
    </w:rPr>
  </w:style>
  <w:style w:type="character" w:customStyle="1" w:styleId="highlight1">
    <w:name w:val="highlight1"/>
    <w:rsid w:val="004A268B"/>
    <w:rPr>
      <w:shd w:val="clear" w:color="auto" w:fill="FFFF00"/>
    </w:rPr>
  </w:style>
  <w:style w:type="character" w:customStyle="1" w:styleId="arabic">
    <w:name w:val="arabic"/>
    <w:rsid w:val="004A268B"/>
    <w:rPr>
      <w:rFonts w:cs="QuranTaha" w:hint="cs"/>
      <w:color w:val="5E2901"/>
      <w:sz w:val="35"/>
      <w:szCs w:val="35"/>
      <w:rtl/>
    </w:rPr>
  </w:style>
  <w:style w:type="paragraph" w:customStyle="1" w:styleId="affe">
    <w:name w:val="ترجمه"/>
    <w:basedOn w:val="aff0"/>
    <w:link w:val="Charf4"/>
    <w:qFormat/>
    <w:rsid w:val="00F0254A"/>
    <w:pPr>
      <w:spacing w:before="60" w:after="60" w:line="288" w:lineRule="auto"/>
    </w:pPr>
    <w:rPr>
      <w:rFonts w:cs="B Zar"/>
      <w:b w:val="0"/>
      <w:bCs w:val="0"/>
    </w:rPr>
  </w:style>
  <w:style w:type="character" w:customStyle="1" w:styleId="Charf4">
    <w:name w:val="ترجمه Char"/>
    <w:link w:val="affe"/>
    <w:rsid w:val="00F0254A"/>
    <w:rPr>
      <w:rFonts w:ascii="Saihat" w:hAnsi="Saihat" w:cs="B Zar"/>
      <w:sz w:val="26"/>
      <w:szCs w:val="26"/>
      <w:lang w:bidi="fa-IR"/>
    </w:rPr>
  </w:style>
  <w:style w:type="character" w:customStyle="1" w:styleId="st1">
    <w:name w:val="st1"/>
    <w:basedOn w:val="a4"/>
    <w:rsid w:val="00BF4C2D"/>
  </w:style>
  <w:style w:type="numbering" w:customStyle="1" w:styleId="NoList4">
    <w:name w:val="No List4"/>
    <w:next w:val="a6"/>
    <w:uiPriority w:val="99"/>
    <w:semiHidden/>
    <w:unhideWhenUsed/>
    <w:rsid w:val="00A66FFC"/>
  </w:style>
  <w:style w:type="numbering" w:customStyle="1" w:styleId="NoList5">
    <w:name w:val="No List5"/>
    <w:next w:val="a6"/>
    <w:uiPriority w:val="99"/>
    <w:semiHidden/>
    <w:unhideWhenUsed/>
    <w:rsid w:val="00DA5E60"/>
  </w:style>
  <w:style w:type="paragraph" w:customStyle="1" w:styleId="afff">
    <w:name w:val="الآیات"/>
    <w:basedOn w:val="a8"/>
    <w:link w:val="Charf5"/>
    <w:qFormat/>
    <w:rsid w:val="00EE4C46"/>
    <w:pPr>
      <w:bidi/>
      <w:spacing w:before="120" w:beforeAutospacing="0" w:after="120" w:afterAutospacing="0"/>
      <w:ind w:left="851" w:firstLine="0"/>
    </w:pPr>
    <w:rPr>
      <w:rFonts w:cs="KFGQPC Uthman Taha Naskh"/>
      <w:sz w:val="26"/>
      <w:szCs w:val="26"/>
    </w:rPr>
  </w:style>
  <w:style w:type="character" w:customStyle="1" w:styleId="Char0">
    <w:name w:val="عادي (ويب) Char"/>
    <w:link w:val="a8"/>
    <w:uiPriority w:val="99"/>
    <w:rsid w:val="008D3288"/>
    <w:rPr>
      <w:rFonts w:ascii="Times New Roman" w:eastAsia="Times New Roman" w:hAnsi="Times New Roman" w:cs="Times New Roman"/>
      <w:sz w:val="24"/>
      <w:szCs w:val="24"/>
    </w:rPr>
  </w:style>
  <w:style w:type="character" w:customStyle="1" w:styleId="Charf5">
    <w:name w:val="الآیات Char"/>
    <w:link w:val="afff"/>
    <w:rsid w:val="00EE4C46"/>
    <w:rPr>
      <w:rFonts w:ascii="Times New Roman" w:eastAsia="Times New Roman" w:hAnsi="Times New Roman" w:cs="KFGQPC Uthman Taha Naskh"/>
      <w:sz w:val="26"/>
      <w:szCs w:val="26"/>
    </w:rPr>
  </w:style>
  <w:style w:type="character" w:customStyle="1" w:styleId="9Char">
    <w:name w:val="عنوان 9 Char"/>
    <w:link w:val="9"/>
    <w:rsid w:val="00875A46"/>
    <w:rPr>
      <w:rFonts w:ascii="Calibri Light" w:eastAsia="Times New Roman" w:hAnsi="Calibri Light" w:cs="Times New Roman"/>
      <w:i/>
      <w:iCs/>
      <w:color w:val="272727"/>
      <w:sz w:val="21"/>
      <w:szCs w:val="21"/>
      <w:lang w:bidi="fa-IR"/>
    </w:rPr>
  </w:style>
  <w:style w:type="character" w:customStyle="1" w:styleId="spanen">
    <w:name w:val="spanen"/>
    <w:rsid w:val="00875A46"/>
  </w:style>
  <w:style w:type="character" w:customStyle="1" w:styleId="hps">
    <w:name w:val="hps"/>
    <w:rsid w:val="00875A46"/>
  </w:style>
  <w:style w:type="paragraph" w:styleId="afff0">
    <w:name w:val="Plain Text"/>
    <w:basedOn w:val="a3"/>
    <w:link w:val="Charf6"/>
    <w:uiPriority w:val="99"/>
    <w:unhideWhenUsed/>
    <w:rsid w:val="00875A46"/>
    <w:pPr>
      <w:spacing w:line="240" w:lineRule="auto"/>
      <w:ind w:firstLine="0"/>
      <w:jc w:val="left"/>
    </w:pPr>
    <w:rPr>
      <w:rFonts w:ascii="Consolas" w:hAnsi="Consolas" w:cs="Arial"/>
      <w:sz w:val="21"/>
      <w:szCs w:val="21"/>
      <w:lang w:bidi="fa-IR"/>
    </w:rPr>
  </w:style>
  <w:style w:type="character" w:customStyle="1" w:styleId="Charf6">
    <w:name w:val="نص عادي Char"/>
    <w:link w:val="afff0"/>
    <w:uiPriority w:val="99"/>
    <w:rsid w:val="00875A46"/>
    <w:rPr>
      <w:rFonts w:ascii="Consolas" w:hAnsi="Consolas"/>
      <w:sz w:val="21"/>
      <w:szCs w:val="21"/>
      <w:lang w:bidi="fa-IR"/>
    </w:rPr>
  </w:style>
  <w:style w:type="paragraph" w:styleId="afff1">
    <w:name w:val="Subtitle"/>
    <w:basedOn w:val="a3"/>
    <w:next w:val="a3"/>
    <w:link w:val="Charf7"/>
    <w:uiPriority w:val="99"/>
    <w:qFormat/>
    <w:rsid w:val="00875A46"/>
    <w:pPr>
      <w:numPr>
        <w:ilvl w:val="1"/>
      </w:numPr>
      <w:bidi w:val="0"/>
      <w:spacing w:after="200" w:line="276" w:lineRule="auto"/>
      <w:jc w:val="left"/>
    </w:pPr>
    <w:rPr>
      <w:rFonts w:ascii="Calibri Light" w:eastAsia="Times New Roman" w:hAnsi="Calibri Light" w:cs="Times New Roman"/>
      <w:i/>
      <w:iCs/>
      <w:color w:val="5B9BD5"/>
      <w:spacing w:val="15"/>
      <w:sz w:val="24"/>
      <w:szCs w:val="24"/>
    </w:rPr>
  </w:style>
  <w:style w:type="character" w:customStyle="1" w:styleId="Charf7">
    <w:name w:val="عنوان فرعي Char"/>
    <w:link w:val="afff1"/>
    <w:uiPriority w:val="99"/>
    <w:rsid w:val="00875A46"/>
    <w:rPr>
      <w:rFonts w:ascii="Calibri Light" w:eastAsia="Times New Roman" w:hAnsi="Calibri Light" w:cs="Times New Roman"/>
      <w:i/>
      <w:iCs/>
      <w:color w:val="5B9BD5"/>
      <w:spacing w:val="15"/>
      <w:sz w:val="24"/>
      <w:szCs w:val="24"/>
    </w:rPr>
  </w:style>
  <w:style w:type="paragraph" w:styleId="afff2">
    <w:name w:val="Title"/>
    <w:aliases w:val="heading 4"/>
    <w:basedOn w:val="a3"/>
    <w:next w:val="a3"/>
    <w:link w:val="Char10"/>
    <w:uiPriority w:val="10"/>
    <w:qFormat/>
    <w:rsid w:val="00875A46"/>
    <w:pPr>
      <w:pBdr>
        <w:bottom w:val="single" w:sz="8" w:space="4" w:color="5B9BD5"/>
      </w:pBdr>
      <w:bidi w:val="0"/>
      <w:spacing w:after="300" w:line="240" w:lineRule="auto"/>
      <w:ind w:firstLine="0"/>
      <w:contextualSpacing/>
      <w:jc w:val="left"/>
    </w:pPr>
    <w:rPr>
      <w:rFonts w:ascii="Calibri Light" w:eastAsia="Times New Roman" w:hAnsi="Calibri Light" w:cs="Times New Roman"/>
      <w:color w:val="323E4F"/>
      <w:spacing w:val="5"/>
      <w:kern w:val="28"/>
      <w:sz w:val="52"/>
      <w:szCs w:val="52"/>
    </w:rPr>
  </w:style>
  <w:style w:type="character" w:customStyle="1" w:styleId="Char10">
    <w:name w:val="العنوان Char1"/>
    <w:aliases w:val="heading 4 Char"/>
    <w:link w:val="afff2"/>
    <w:uiPriority w:val="10"/>
    <w:rsid w:val="00875A46"/>
    <w:rPr>
      <w:rFonts w:ascii="Calibri Light" w:eastAsia="Times New Roman" w:hAnsi="Calibri Light" w:cs="Times New Roman"/>
      <w:color w:val="323E4F"/>
      <w:spacing w:val="5"/>
      <w:kern w:val="28"/>
      <w:sz w:val="52"/>
      <w:szCs w:val="52"/>
    </w:rPr>
  </w:style>
  <w:style w:type="character" w:customStyle="1" w:styleId="switchbar">
    <w:name w:val="switchbar"/>
    <w:rsid w:val="00875A46"/>
  </w:style>
  <w:style w:type="character" w:customStyle="1" w:styleId="bswtexttitle">
    <w:name w:val="bswtexttitle"/>
    <w:rsid w:val="00875A46"/>
  </w:style>
  <w:style w:type="character" w:customStyle="1" w:styleId="head1">
    <w:name w:val="head1"/>
    <w:rsid w:val="00875A46"/>
  </w:style>
  <w:style w:type="character" w:customStyle="1" w:styleId="briefdescription">
    <w:name w:val="briefdescription"/>
    <w:rsid w:val="00875A46"/>
  </w:style>
  <w:style w:type="paragraph" w:customStyle="1" w:styleId="newsbody">
    <w:name w:val="news_body"/>
    <w:basedOn w:val="a3"/>
    <w:rsid w:val="00875A46"/>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fa-IR"/>
    </w:rPr>
  </w:style>
  <w:style w:type="character" w:customStyle="1" w:styleId="tocnumber">
    <w:name w:val="tocnumber"/>
    <w:rsid w:val="00875A46"/>
  </w:style>
  <w:style w:type="character" w:customStyle="1" w:styleId="toctext">
    <w:name w:val="toctext"/>
    <w:rsid w:val="00875A46"/>
  </w:style>
  <w:style w:type="paragraph" w:styleId="afff3">
    <w:name w:val="HTML Top of Form"/>
    <w:basedOn w:val="a3"/>
    <w:next w:val="a3"/>
    <w:link w:val="Charf8"/>
    <w:hidden/>
    <w:uiPriority w:val="99"/>
    <w:semiHidden/>
    <w:unhideWhenUsed/>
    <w:rsid w:val="00875A46"/>
    <w:pPr>
      <w:pBdr>
        <w:bottom w:val="single" w:sz="6" w:space="1" w:color="auto"/>
      </w:pBdr>
      <w:bidi w:val="0"/>
      <w:spacing w:line="240" w:lineRule="auto"/>
      <w:ind w:firstLine="0"/>
      <w:jc w:val="center"/>
    </w:pPr>
    <w:rPr>
      <w:rFonts w:ascii="Arial" w:eastAsia="Times New Roman" w:hAnsi="Arial" w:cs="Arial"/>
      <w:vanish/>
      <w:sz w:val="16"/>
      <w:szCs w:val="16"/>
    </w:rPr>
  </w:style>
  <w:style w:type="character" w:customStyle="1" w:styleId="Charf8">
    <w:name w:val="أعلى النموذج Char"/>
    <w:link w:val="afff3"/>
    <w:uiPriority w:val="99"/>
    <w:semiHidden/>
    <w:rsid w:val="00875A46"/>
    <w:rPr>
      <w:rFonts w:ascii="Arial" w:eastAsia="Times New Roman" w:hAnsi="Arial"/>
      <w:vanish/>
      <w:sz w:val="16"/>
      <w:szCs w:val="16"/>
    </w:rPr>
  </w:style>
  <w:style w:type="paragraph" w:styleId="afff4">
    <w:name w:val="HTML Bottom of Form"/>
    <w:basedOn w:val="a3"/>
    <w:next w:val="a3"/>
    <w:link w:val="Charf9"/>
    <w:hidden/>
    <w:uiPriority w:val="99"/>
    <w:semiHidden/>
    <w:unhideWhenUsed/>
    <w:rsid w:val="00875A46"/>
    <w:pPr>
      <w:pBdr>
        <w:top w:val="single" w:sz="6" w:space="1" w:color="auto"/>
      </w:pBdr>
      <w:bidi w:val="0"/>
      <w:spacing w:line="240" w:lineRule="auto"/>
      <w:ind w:firstLine="0"/>
      <w:jc w:val="center"/>
    </w:pPr>
    <w:rPr>
      <w:rFonts w:ascii="Arial" w:eastAsia="Times New Roman" w:hAnsi="Arial" w:cs="Arial"/>
      <w:vanish/>
      <w:sz w:val="16"/>
      <w:szCs w:val="16"/>
    </w:rPr>
  </w:style>
  <w:style w:type="character" w:customStyle="1" w:styleId="Charf9">
    <w:name w:val="أسفل النموذج Char"/>
    <w:link w:val="afff4"/>
    <w:uiPriority w:val="99"/>
    <w:semiHidden/>
    <w:rsid w:val="00875A46"/>
    <w:rPr>
      <w:rFonts w:ascii="Arial" w:eastAsia="Times New Roman" w:hAnsi="Arial"/>
      <w:vanish/>
      <w:sz w:val="16"/>
      <w:szCs w:val="16"/>
    </w:rPr>
  </w:style>
  <w:style w:type="character" w:customStyle="1" w:styleId="text-info">
    <w:name w:val="text-info"/>
    <w:rsid w:val="00875A46"/>
  </w:style>
  <w:style w:type="paragraph" w:styleId="afff5">
    <w:name w:val="Revision"/>
    <w:hidden/>
    <w:uiPriority w:val="99"/>
    <w:semiHidden/>
    <w:rsid w:val="00875A46"/>
    <w:rPr>
      <w:sz w:val="22"/>
      <w:szCs w:val="22"/>
      <w:lang w:bidi="fa-IR"/>
    </w:rPr>
  </w:style>
  <w:style w:type="character" w:customStyle="1" w:styleId="typeblue">
    <w:name w:val="typeblue"/>
    <w:rsid w:val="00875A46"/>
  </w:style>
  <w:style w:type="character" w:customStyle="1" w:styleId="shorttext">
    <w:name w:val="short_text"/>
    <w:rsid w:val="00875A46"/>
  </w:style>
  <w:style w:type="table" w:styleId="afff6">
    <w:name w:val="Table Grid"/>
    <w:basedOn w:val="a5"/>
    <w:rsid w:val="00875A46"/>
    <w:pPr>
      <w:ind w:firstLine="284"/>
      <w:jc w:val="both"/>
    </w:pPr>
    <w:rPr>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e">
    <w:name w:val="aye"/>
    <w:rsid w:val="00875A46"/>
  </w:style>
  <w:style w:type="character" w:customStyle="1" w:styleId="answerlabel">
    <w:name w:val="answerlabel"/>
    <w:rsid w:val="00875A46"/>
  </w:style>
  <w:style w:type="character" w:customStyle="1" w:styleId="ay">
    <w:name w:val="ay"/>
    <w:rsid w:val="00875A46"/>
  </w:style>
  <w:style w:type="paragraph" w:customStyle="1" w:styleId="StyleComplexSina16ptCenteredLinespacing15lines">
    <w:name w:val="Style (Complex) Sina 16 pt Centered Line spacing:  1.5 lines"/>
    <w:basedOn w:val="a3"/>
    <w:uiPriority w:val="99"/>
    <w:rsid w:val="00875A46"/>
    <w:pPr>
      <w:spacing w:line="360" w:lineRule="auto"/>
      <w:ind w:firstLine="0"/>
      <w:jc w:val="center"/>
    </w:pPr>
    <w:rPr>
      <w:rFonts w:ascii="Times New Roman" w:eastAsia="Times New Roman" w:hAnsi="Times New Roman" w:cs="B Sina"/>
      <w:sz w:val="32"/>
      <w:szCs w:val="32"/>
    </w:rPr>
  </w:style>
  <w:style w:type="character" w:customStyle="1" w:styleId="pvp-matn-aye">
    <w:name w:val="pvp-matn-aye"/>
    <w:rsid w:val="00875A46"/>
  </w:style>
  <w:style w:type="character" w:customStyle="1" w:styleId="reference-text">
    <w:name w:val="reference-text"/>
    <w:rsid w:val="00875A46"/>
  </w:style>
  <w:style w:type="paragraph" w:customStyle="1" w:styleId="314">
    <w:name w:val="3 ترافیک14سیاه"/>
    <w:basedOn w:val="a3"/>
    <w:next w:val="3"/>
    <w:link w:val="314Char"/>
    <w:qFormat/>
    <w:rsid w:val="00875A46"/>
    <w:pPr>
      <w:widowControl w:val="0"/>
      <w:spacing w:before="240" w:after="240" w:line="240" w:lineRule="auto"/>
      <w:ind w:firstLine="0"/>
      <w:jc w:val="both"/>
    </w:pPr>
    <w:rPr>
      <w:rFonts w:ascii="2  Traffic" w:eastAsia="Times New Roman" w:hAnsi="2  Traffic" w:cs="Times New Roman"/>
      <w:b/>
      <w:bCs/>
    </w:rPr>
  </w:style>
  <w:style w:type="character" w:customStyle="1" w:styleId="314Char">
    <w:name w:val="3 ترافیک14سیاه Char"/>
    <w:link w:val="314"/>
    <w:rsid w:val="00875A46"/>
    <w:rPr>
      <w:rFonts w:ascii="2  Traffic" w:eastAsia="Times New Roman" w:hAnsi="2  Traffic" w:cs="Times New Roman"/>
      <w:b/>
      <w:bCs/>
      <w:sz w:val="28"/>
      <w:szCs w:val="28"/>
    </w:rPr>
  </w:style>
  <w:style w:type="character" w:customStyle="1" w:styleId="text2">
    <w:name w:val="text2"/>
    <w:rsid w:val="00875A46"/>
  </w:style>
  <w:style w:type="character" w:customStyle="1" w:styleId="content">
    <w:name w:val="content"/>
    <w:rsid w:val="000A0840"/>
  </w:style>
  <w:style w:type="numbering" w:customStyle="1" w:styleId="NoList6">
    <w:name w:val="No List6"/>
    <w:next w:val="a6"/>
    <w:uiPriority w:val="99"/>
    <w:semiHidden/>
    <w:unhideWhenUsed/>
    <w:rsid w:val="00BF23AC"/>
  </w:style>
  <w:style w:type="character" w:customStyle="1" w:styleId="ndesc">
    <w:name w:val="ndesc"/>
    <w:rsid w:val="00BF23AC"/>
  </w:style>
  <w:style w:type="paragraph" w:customStyle="1" w:styleId="quran">
    <w:name w:val="quran"/>
    <w:basedOn w:val="a3"/>
    <w:rsid w:val="00BF23AC"/>
    <w:pPr>
      <w:bidi w:val="0"/>
      <w:spacing w:before="100" w:beforeAutospacing="1" w:after="100" w:afterAutospacing="1" w:line="240" w:lineRule="auto"/>
      <w:ind w:firstLine="0"/>
      <w:jc w:val="left"/>
    </w:pPr>
    <w:rPr>
      <w:rFonts w:ascii="B Lotus" w:eastAsia="Times New Roman" w:hAnsi="B Lotus" w:cs="Times New Roman"/>
      <w:sz w:val="24"/>
      <w:szCs w:val="24"/>
    </w:rPr>
  </w:style>
  <w:style w:type="paragraph" w:customStyle="1" w:styleId="author">
    <w:name w:val="author"/>
    <w:basedOn w:val="a3"/>
    <w:rsid w:val="00BF23AC"/>
    <w:pPr>
      <w:bidi w:val="0"/>
      <w:spacing w:before="100" w:beforeAutospacing="1" w:after="100" w:afterAutospacing="1" w:line="240" w:lineRule="auto"/>
      <w:ind w:firstLine="0"/>
      <w:jc w:val="left"/>
    </w:pPr>
    <w:rPr>
      <w:rFonts w:ascii="B Lotus" w:eastAsia="Times New Roman" w:hAnsi="B Lotus" w:cs="Times New Roman"/>
      <w:sz w:val="24"/>
      <w:szCs w:val="24"/>
    </w:rPr>
  </w:style>
  <w:style w:type="character" w:customStyle="1" w:styleId="spc">
    <w:name w:val="spc"/>
    <w:rsid w:val="00BF23AC"/>
  </w:style>
  <w:style w:type="character" w:customStyle="1" w:styleId="plainlinks">
    <w:name w:val="plainlinks"/>
    <w:rsid w:val="00BF23AC"/>
  </w:style>
  <w:style w:type="numbering" w:customStyle="1" w:styleId="NoList11">
    <w:name w:val="No List11"/>
    <w:next w:val="a6"/>
    <w:uiPriority w:val="99"/>
    <w:semiHidden/>
    <w:unhideWhenUsed/>
    <w:rsid w:val="00BF23AC"/>
  </w:style>
  <w:style w:type="character" w:customStyle="1" w:styleId="s">
    <w:name w:val="s"/>
    <w:rsid w:val="00BF23AC"/>
  </w:style>
  <w:style w:type="character" w:customStyle="1" w:styleId="footnotembank">
    <w:name w:val="footnotembank"/>
    <w:rsid w:val="00BF23AC"/>
  </w:style>
  <w:style w:type="character" w:customStyle="1" w:styleId="algo-summary">
    <w:name w:val="algo-summary"/>
    <w:rsid w:val="00BF23AC"/>
  </w:style>
  <w:style w:type="paragraph" w:customStyle="1" w:styleId="42">
    <w:name w:val="4"/>
    <w:basedOn w:val="a3"/>
    <w:rsid w:val="00BF23AC"/>
    <w:pPr>
      <w:widowControl w:val="0"/>
      <w:spacing w:line="420" w:lineRule="exact"/>
      <w:ind w:left="1134" w:firstLine="567"/>
    </w:pPr>
    <w:rPr>
      <w:rFonts w:ascii="Times New Roman" w:eastAsia="Times New Roman" w:hAnsi="Times New Roman" w:cs="Badr"/>
      <w:b/>
      <w:bCs/>
      <w:sz w:val="42"/>
      <w:szCs w:val="26"/>
    </w:rPr>
  </w:style>
  <w:style w:type="paragraph" w:customStyle="1" w:styleId="32">
    <w:name w:val="3"/>
    <w:basedOn w:val="a3"/>
    <w:rsid w:val="00BF23AC"/>
    <w:pPr>
      <w:widowControl w:val="0"/>
      <w:spacing w:line="420" w:lineRule="exact"/>
      <w:ind w:left="1134" w:firstLine="567"/>
    </w:pPr>
    <w:rPr>
      <w:rFonts w:ascii="Times New Roman" w:eastAsia="Times New Roman" w:hAnsi="Times New Roman" w:cs="Traffic"/>
      <w:b/>
      <w:sz w:val="38"/>
      <w:szCs w:val="22"/>
    </w:rPr>
  </w:style>
  <w:style w:type="paragraph" w:customStyle="1" w:styleId="23">
    <w:name w:val="2"/>
    <w:basedOn w:val="a3"/>
    <w:rsid w:val="00BF23AC"/>
    <w:pPr>
      <w:widowControl w:val="0"/>
      <w:spacing w:before="120" w:line="420" w:lineRule="exact"/>
      <w:ind w:firstLine="567"/>
      <w:jc w:val="left"/>
    </w:pPr>
    <w:rPr>
      <w:rFonts w:ascii="Times New Roman" w:eastAsia="Times New Roman" w:hAnsi="Times New Roman" w:cs="Yagut"/>
      <w:b/>
      <w:bCs/>
      <w:sz w:val="42"/>
      <w:szCs w:val="24"/>
    </w:rPr>
  </w:style>
  <w:style w:type="paragraph" w:customStyle="1" w:styleId="13">
    <w:name w:val="1"/>
    <w:basedOn w:val="a3"/>
    <w:rsid w:val="00BF23AC"/>
    <w:pPr>
      <w:widowControl w:val="0"/>
      <w:spacing w:line="420" w:lineRule="exact"/>
      <w:ind w:firstLine="454"/>
    </w:pPr>
    <w:rPr>
      <w:rFonts w:ascii="Times New Roman" w:eastAsia="Times New Roman" w:hAnsi="Times New Roman" w:cs="Lotus"/>
      <w:b/>
      <w:sz w:val="42"/>
      <w:szCs w:val="26"/>
    </w:rPr>
  </w:style>
  <w:style w:type="numbering" w:customStyle="1" w:styleId="NoList21">
    <w:name w:val="No List21"/>
    <w:next w:val="a6"/>
    <w:uiPriority w:val="99"/>
    <w:semiHidden/>
    <w:unhideWhenUsed/>
    <w:rsid w:val="00BF23AC"/>
  </w:style>
  <w:style w:type="numbering" w:customStyle="1" w:styleId="NoList31">
    <w:name w:val="No List31"/>
    <w:next w:val="a6"/>
    <w:uiPriority w:val="99"/>
    <w:semiHidden/>
    <w:unhideWhenUsed/>
    <w:rsid w:val="00BF23AC"/>
  </w:style>
  <w:style w:type="numbering" w:customStyle="1" w:styleId="NoList111">
    <w:name w:val="No List111"/>
    <w:next w:val="a6"/>
    <w:uiPriority w:val="99"/>
    <w:semiHidden/>
    <w:unhideWhenUsed/>
    <w:rsid w:val="00BF23AC"/>
  </w:style>
  <w:style w:type="numbering" w:customStyle="1" w:styleId="NoList1111">
    <w:name w:val="No List1111"/>
    <w:next w:val="a6"/>
    <w:uiPriority w:val="99"/>
    <w:semiHidden/>
    <w:unhideWhenUsed/>
    <w:rsid w:val="00BF23AC"/>
  </w:style>
  <w:style w:type="numbering" w:customStyle="1" w:styleId="NoList211">
    <w:name w:val="No List211"/>
    <w:next w:val="a6"/>
    <w:uiPriority w:val="99"/>
    <w:semiHidden/>
    <w:unhideWhenUsed/>
    <w:rsid w:val="00BF23AC"/>
  </w:style>
  <w:style w:type="numbering" w:customStyle="1" w:styleId="NoList311">
    <w:name w:val="No List311"/>
    <w:next w:val="a6"/>
    <w:uiPriority w:val="99"/>
    <w:semiHidden/>
    <w:unhideWhenUsed/>
    <w:rsid w:val="00BF23AC"/>
  </w:style>
  <w:style w:type="numbering" w:customStyle="1" w:styleId="NoList12">
    <w:name w:val="No List12"/>
    <w:next w:val="a6"/>
    <w:uiPriority w:val="99"/>
    <w:semiHidden/>
    <w:unhideWhenUsed/>
    <w:rsid w:val="00BF23AC"/>
  </w:style>
  <w:style w:type="numbering" w:customStyle="1" w:styleId="NoList2111">
    <w:name w:val="No List2111"/>
    <w:next w:val="a6"/>
    <w:uiPriority w:val="99"/>
    <w:semiHidden/>
    <w:unhideWhenUsed/>
    <w:rsid w:val="00BF23AC"/>
  </w:style>
  <w:style w:type="character" w:customStyle="1" w:styleId="text">
    <w:name w:val="text"/>
    <w:rsid w:val="00BF23AC"/>
  </w:style>
  <w:style w:type="character" w:customStyle="1" w:styleId="publisherandreleaseblock1">
    <w:name w:val="publisherandreleaseblock1"/>
    <w:rsid w:val="00BF23AC"/>
    <w:rPr>
      <w:rFonts w:ascii="Tahoma" w:hAnsi="Tahoma" w:cs="Tahoma" w:hint="default"/>
      <w:sz w:val="18"/>
      <w:szCs w:val="18"/>
    </w:rPr>
  </w:style>
  <w:style w:type="character" w:customStyle="1" w:styleId="releasedate1">
    <w:name w:val="release_date1"/>
    <w:rsid w:val="00BF23AC"/>
    <w:rPr>
      <w:rFonts w:ascii="Tahoma" w:hAnsi="Tahoma" w:cs="Tahoma" w:hint="default"/>
      <w:sz w:val="18"/>
      <w:szCs w:val="18"/>
    </w:rPr>
  </w:style>
  <w:style w:type="character" w:customStyle="1" w:styleId="alayh">
    <w:name w:val="alayh"/>
    <w:rsid w:val="00BF23AC"/>
  </w:style>
  <w:style w:type="numbering" w:customStyle="1" w:styleId="NoList41">
    <w:name w:val="No List41"/>
    <w:next w:val="a6"/>
    <w:uiPriority w:val="99"/>
    <w:semiHidden/>
    <w:unhideWhenUsed/>
    <w:rsid w:val="00BF23AC"/>
  </w:style>
  <w:style w:type="numbering" w:customStyle="1" w:styleId="NoList51">
    <w:name w:val="No List51"/>
    <w:next w:val="a6"/>
    <w:uiPriority w:val="99"/>
    <w:semiHidden/>
    <w:unhideWhenUsed/>
    <w:rsid w:val="00BF23AC"/>
  </w:style>
  <w:style w:type="paragraph" w:customStyle="1" w:styleId="foot1">
    <w:name w:val="foot1"/>
    <w:basedOn w:val="a3"/>
    <w:uiPriority w:val="99"/>
    <w:rsid w:val="00BF23AC"/>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ufmtr31">
    <w:name w:val="ufmtr31"/>
    <w:rsid w:val="00BF23AC"/>
  </w:style>
  <w:style w:type="character" w:customStyle="1" w:styleId="ufyag41">
    <w:name w:val="ufyag41"/>
    <w:rsid w:val="00BF23AC"/>
  </w:style>
  <w:style w:type="character" w:customStyle="1" w:styleId="footline">
    <w:name w:val="footline"/>
    <w:rsid w:val="00BF23AC"/>
  </w:style>
  <w:style w:type="character" w:customStyle="1" w:styleId="ufmtr51">
    <w:name w:val="ufmtr51"/>
    <w:rsid w:val="00BF23AC"/>
  </w:style>
  <w:style w:type="character" w:customStyle="1" w:styleId="ufalaem61">
    <w:name w:val="ufalaem61"/>
    <w:rsid w:val="00BF23AC"/>
  </w:style>
  <w:style w:type="character" w:customStyle="1" w:styleId="ufyag71">
    <w:name w:val="ufyag71"/>
    <w:rsid w:val="00BF23AC"/>
  </w:style>
  <w:style w:type="numbering" w:customStyle="1" w:styleId="NoList13">
    <w:name w:val="No List13"/>
    <w:next w:val="a6"/>
    <w:uiPriority w:val="99"/>
    <w:semiHidden/>
    <w:unhideWhenUsed/>
    <w:rsid w:val="00BF23AC"/>
  </w:style>
  <w:style w:type="numbering" w:customStyle="1" w:styleId="NoList112">
    <w:name w:val="No List112"/>
    <w:next w:val="a6"/>
    <w:uiPriority w:val="99"/>
    <w:semiHidden/>
    <w:unhideWhenUsed/>
    <w:rsid w:val="00BF23AC"/>
  </w:style>
  <w:style w:type="paragraph" w:customStyle="1" w:styleId="StyleComplexTitr18ptCentered">
    <w:name w:val="Style (Complex) Titr 18 pt Centered"/>
    <w:basedOn w:val="a3"/>
    <w:uiPriority w:val="99"/>
    <w:rsid w:val="00BF23AC"/>
    <w:pPr>
      <w:spacing w:line="240" w:lineRule="auto"/>
      <w:ind w:firstLine="0"/>
      <w:jc w:val="center"/>
    </w:pPr>
    <w:rPr>
      <w:rFonts w:ascii="Times New Roman" w:eastAsia="Times New Roman" w:hAnsi="Times New Roman" w:cs="B Titr"/>
      <w:sz w:val="36"/>
      <w:szCs w:val="36"/>
    </w:rPr>
  </w:style>
  <w:style w:type="character" w:customStyle="1" w:styleId="rightcol">
    <w:name w:val="rightcol"/>
    <w:rsid w:val="00BF23AC"/>
  </w:style>
  <w:style w:type="character" w:customStyle="1" w:styleId="bookpathsplit">
    <w:name w:val="bookpathsplit"/>
    <w:rsid w:val="00BF23AC"/>
  </w:style>
  <w:style w:type="character" w:customStyle="1" w:styleId="Title1">
    <w:name w:val="Title1"/>
    <w:rsid w:val="00BF23AC"/>
  </w:style>
  <w:style w:type="character" w:customStyle="1" w:styleId="highlight">
    <w:name w:val="highlight"/>
    <w:rsid w:val="00BF23AC"/>
  </w:style>
  <w:style w:type="character" w:customStyle="1" w:styleId="lable">
    <w:name w:val="lable"/>
    <w:rsid w:val="00BF23AC"/>
  </w:style>
  <w:style w:type="character" w:customStyle="1" w:styleId="value">
    <w:name w:val="value"/>
    <w:rsid w:val="00BF23AC"/>
  </w:style>
  <w:style w:type="table" w:customStyle="1" w:styleId="TableGrid1">
    <w:name w:val="Table Grid1"/>
    <w:basedOn w:val="a5"/>
    <w:next w:val="afff6"/>
    <w:rsid w:val="00BF23AC"/>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a6"/>
    <w:uiPriority w:val="99"/>
    <w:semiHidden/>
    <w:unhideWhenUsed/>
    <w:rsid w:val="00BF23AC"/>
  </w:style>
  <w:style w:type="character" w:customStyle="1" w:styleId="threadtitle">
    <w:name w:val="threadtitle"/>
    <w:rsid w:val="005F2006"/>
  </w:style>
  <w:style w:type="numbering" w:customStyle="1" w:styleId="NoList7">
    <w:name w:val="No List7"/>
    <w:next w:val="a6"/>
    <w:uiPriority w:val="99"/>
    <w:semiHidden/>
    <w:unhideWhenUsed/>
    <w:rsid w:val="009C0E92"/>
  </w:style>
  <w:style w:type="character" w:customStyle="1" w:styleId="hlight">
    <w:name w:val="hlight"/>
    <w:rsid w:val="009C0E92"/>
  </w:style>
  <w:style w:type="character" w:customStyle="1" w:styleId="green">
    <w:name w:val="green"/>
    <w:rsid w:val="009C0E92"/>
  </w:style>
  <w:style w:type="character" w:styleId="afff7">
    <w:name w:val="line number"/>
    <w:uiPriority w:val="99"/>
    <w:semiHidden/>
    <w:unhideWhenUsed/>
    <w:rsid w:val="009C0E92"/>
  </w:style>
  <w:style w:type="table" w:customStyle="1" w:styleId="TableGrid2">
    <w:name w:val="Table Grid2"/>
    <w:basedOn w:val="a5"/>
    <w:next w:val="afff6"/>
    <w:rsid w:val="009C0E92"/>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a6"/>
    <w:uiPriority w:val="99"/>
    <w:semiHidden/>
    <w:unhideWhenUsed/>
    <w:rsid w:val="00FD2E5D"/>
  </w:style>
  <w:style w:type="table" w:customStyle="1" w:styleId="TableGrid3">
    <w:name w:val="Table Grid3"/>
    <w:basedOn w:val="a5"/>
    <w:next w:val="afff6"/>
    <w:rsid w:val="00FD2E5D"/>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a6"/>
    <w:uiPriority w:val="99"/>
    <w:semiHidden/>
    <w:unhideWhenUsed/>
    <w:rsid w:val="003E05B3"/>
  </w:style>
  <w:style w:type="table" w:customStyle="1" w:styleId="TableGrid4">
    <w:name w:val="Table Grid4"/>
    <w:basedOn w:val="a5"/>
    <w:next w:val="afff6"/>
    <w:uiPriority w:val="59"/>
    <w:rsid w:val="003E05B3"/>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a6"/>
    <w:uiPriority w:val="99"/>
    <w:semiHidden/>
    <w:unhideWhenUsed/>
    <w:rsid w:val="003E05B3"/>
  </w:style>
  <w:style w:type="table" w:customStyle="1" w:styleId="TableGrid5">
    <w:name w:val="Table Grid5"/>
    <w:basedOn w:val="a5"/>
    <w:next w:val="afff6"/>
    <w:uiPriority w:val="59"/>
    <w:rsid w:val="003E05B3"/>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8">
    <w:name w:val="تیتر اصلی"/>
    <w:basedOn w:val="a3"/>
    <w:rsid w:val="0086730B"/>
    <w:pPr>
      <w:spacing w:before="120" w:after="120" w:line="240" w:lineRule="auto"/>
      <w:ind w:firstLine="0"/>
      <w:jc w:val="both"/>
      <w:outlineLvl w:val="0"/>
    </w:pPr>
    <w:rPr>
      <w:rFonts w:ascii="Times New Roman" w:eastAsia="Times New Roman" w:hAnsi="Times New Roman" w:cs="B Titr"/>
      <w:b/>
      <w:bCs/>
      <w:color w:val="262626"/>
      <w:sz w:val="32"/>
      <w:szCs w:val="32"/>
      <w:lang w:bidi="fa-IR"/>
    </w:rPr>
  </w:style>
  <w:style w:type="paragraph" w:customStyle="1" w:styleId="afff9">
    <w:name w:val="با تو رفتگی"/>
    <w:basedOn w:val="a3"/>
    <w:uiPriority w:val="99"/>
    <w:qFormat/>
    <w:rsid w:val="0086730B"/>
    <w:pPr>
      <w:widowControl w:val="0"/>
      <w:tabs>
        <w:tab w:val="right" w:leader="dot" w:pos="282"/>
      </w:tabs>
      <w:suppressAutoHyphens/>
      <w:autoSpaceDE w:val="0"/>
      <w:autoSpaceDN w:val="0"/>
      <w:adjustRightInd w:val="0"/>
      <w:spacing w:after="40" w:line="264" w:lineRule="auto"/>
      <w:jc w:val="both"/>
    </w:pPr>
    <w:rPr>
      <w:rFonts w:ascii="w_Lotus" w:eastAsia="Times New Roman" w:hAnsi="w_Lotus"/>
      <w:color w:val="000000"/>
      <w:lang w:bidi="fa-IR"/>
    </w:rPr>
  </w:style>
  <w:style w:type="paragraph" w:customStyle="1" w:styleId="24">
    <w:name w:val="تيتر 2"/>
    <w:basedOn w:val="a3"/>
    <w:rsid w:val="0086730B"/>
    <w:pPr>
      <w:spacing w:before="120" w:after="120" w:line="240" w:lineRule="auto"/>
      <w:ind w:firstLine="0"/>
    </w:pPr>
    <w:rPr>
      <w:rFonts w:ascii="Symbol" w:hAnsi="Symbol"/>
      <w:b/>
      <w:bCs/>
      <w:sz w:val="24"/>
      <w:szCs w:val="36"/>
      <w:lang w:bidi="fa-IR"/>
    </w:rPr>
  </w:style>
  <w:style w:type="paragraph" w:customStyle="1" w:styleId="33">
    <w:name w:val="تيتر 3"/>
    <w:basedOn w:val="a3"/>
    <w:rsid w:val="0086730B"/>
    <w:pPr>
      <w:spacing w:before="120" w:after="120" w:line="240" w:lineRule="auto"/>
      <w:ind w:firstLine="0"/>
    </w:pPr>
    <w:rPr>
      <w:rFonts w:ascii="Symbol" w:hAnsi="Symbol"/>
      <w:b/>
      <w:bCs/>
      <w:sz w:val="24"/>
      <w:szCs w:val="32"/>
      <w:lang w:bidi="fa-IR"/>
    </w:rPr>
  </w:style>
  <w:style w:type="paragraph" w:customStyle="1" w:styleId="afffa">
    <w:name w:val="نقل قول"/>
    <w:basedOn w:val="a3"/>
    <w:rsid w:val="0086730B"/>
    <w:pPr>
      <w:widowControl w:val="0"/>
      <w:spacing w:after="80" w:line="276" w:lineRule="auto"/>
      <w:ind w:left="851" w:firstLine="0"/>
    </w:pPr>
    <w:rPr>
      <w:rFonts w:ascii="Symbol" w:hAnsi="Symbol" w:cs="B Zar"/>
      <w:sz w:val="26"/>
      <w:szCs w:val="26"/>
      <w:lang w:bidi="fa-IR"/>
    </w:rPr>
  </w:style>
  <w:style w:type="character" w:customStyle="1" w:styleId="footnote">
    <w:name w:val="footnote"/>
    <w:rsid w:val="0086730B"/>
  </w:style>
  <w:style w:type="paragraph" w:customStyle="1" w:styleId="afffb">
    <w:name w:val="عربي"/>
    <w:basedOn w:val="a3"/>
    <w:rsid w:val="0086730B"/>
    <w:pPr>
      <w:spacing w:line="240" w:lineRule="auto"/>
      <w:ind w:left="851" w:firstLine="0"/>
    </w:pPr>
    <w:rPr>
      <w:rFonts w:ascii="Symbol" w:hAnsi="Symbol" w:cs="KFGQPC Uthman Taha Naskh"/>
      <w:bCs/>
      <w:sz w:val="26"/>
      <w:szCs w:val="26"/>
      <w:lang w:bidi="fa-IR"/>
    </w:rPr>
  </w:style>
  <w:style w:type="paragraph" w:customStyle="1" w:styleId="14">
    <w:name w:val="ترجمه1"/>
    <w:basedOn w:val="a3"/>
    <w:rsid w:val="0086730B"/>
    <w:pPr>
      <w:widowControl w:val="0"/>
      <w:spacing w:after="40" w:line="300" w:lineRule="auto"/>
      <w:ind w:left="851" w:firstLine="0"/>
    </w:pPr>
    <w:rPr>
      <w:rFonts w:ascii="Symbol" w:hAnsi="Symbol" w:cs="B Zar"/>
      <w:sz w:val="26"/>
      <w:szCs w:val="26"/>
      <w:lang w:bidi="fa-IR"/>
    </w:rPr>
  </w:style>
  <w:style w:type="paragraph" w:customStyle="1" w:styleId="poem">
    <w:name w:val="poem"/>
    <w:basedOn w:val="a3"/>
    <w:rsid w:val="0086730B"/>
    <w:pPr>
      <w:widowControl w:val="0"/>
      <w:spacing w:line="288" w:lineRule="auto"/>
    </w:pPr>
    <w:rPr>
      <w:rFonts w:ascii="Lotus" w:eastAsia="Lotus" w:hAnsi="Lotus"/>
      <w:sz w:val="26"/>
      <w:lang w:bidi="fa-IR"/>
    </w:rPr>
  </w:style>
  <w:style w:type="paragraph" w:customStyle="1" w:styleId="afffc">
    <w:name w:val="شعر"/>
    <w:basedOn w:val="a3"/>
    <w:next w:val="a3"/>
    <w:rsid w:val="0086730B"/>
    <w:pPr>
      <w:spacing w:line="240" w:lineRule="auto"/>
    </w:pPr>
    <w:rPr>
      <w:rFonts w:ascii="Lotus" w:hAnsi="Lotus"/>
      <w:lang w:bidi="fa-IR"/>
    </w:rPr>
  </w:style>
  <w:style w:type="paragraph" w:customStyle="1" w:styleId="NormalBLotus">
    <w:name w:val="Normal + B Lotus"/>
    <w:aliases w:val="Justify Low,First line:  0.5 cm,Right-to-left"/>
    <w:basedOn w:val="a3"/>
    <w:rsid w:val="0086730B"/>
    <w:pPr>
      <w:spacing w:line="360" w:lineRule="auto"/>
    </w:pPr>
    <w:rPr>
      <w:rFonts w:ascii="B Lotus" w:eastAsia="Times New Roman" w:hAnsi="B Lotus"/>
      <w:lang w:bidi="fa-IR"/>
    </w:rPr>
  </w:style>
  <w:style w:type="paragraph" w:customStyle="1" w:styleId="43">
    <w:name w:val="تيتر 4"/>
    <w:basedOn w:val="a3"/>
    <w:rsid w:val="0086730B"/>
    <w:pPr>
      <w:spacing w:before="200" w:line="240" w:lineRule="auto"/>
    </w:pPr>
    <w:rPr>
      <w:rFonts w:ascii="Symbol" w:hAnsi="Symbol"/>
      <w:b/>
      <w:bCs/>
      <w:color w:val="000000"/>
      <w:sz w:val="24"/>
      <w:lang w:bidi="fa-IR"/>
    </w:rPr>
  </w:style>
  <w:style w:type="character" w:customStyle="1" w:styleId="Chard">
    <w:name w:val="بلا تباعد Char"/>
    <w:aliases w:val="بدر 12 بولد Char,No Spacing1 Char,متن عربی Char,آیات Char"/>
    <w:link w:val="aff4"/>
    <w:uiPriority w:val="1"/>
    <w:rsid w:val="0086730B"/>
    <w:rPr>
      <w:rFonts w:ascii="Times New Roman" w:hAnsi="Times New Roman" w:cs="B Nazanin"/>
      <w:sz w:val="24"/>
      <w:szCs w:val="28"/>
      <w:lang w:bidi="fa-IR"/>
    </w:rPr>
  </w:style>
  <w:style w:type="paragraph" w:customStyle="1" w:styleId="libFootnotenum">
    <w:name w:val="libFootnote_num"/>
    <w:basedOn w:val="a3"/>
    <w:next w:val="a3"/>
    <w:link w:val="libFootnotenumChar"/>
    <w:autoRedefine/>
    <w:rsid w:val="0086730B"/>
    <w:pPr>
      <w:spacing w:line="240" w:lineRule="auto"/>
      <w:ind w:firstLine="288"/>
    </w:pPr>
    <w:rPr>
      <w:rFonts w:ascii="B Badr" w:eastAsia="B Badr" w:hAnsi="B Badr" w:cs="B Badr"/>
      <w:color w:val="C00000"/>
      <w:sz w:val="24"/>
      <w:szCs w:val="24"/>
      <w:vertAlign w:val="superscript"/>
    </w:rPr>
  </w:style>
  <w:style w:type="paragraph" w:customStyle="1" w:styleId="libNormal">
    <w:name w:val="libNormal"/>
    <w:link w:val="libNormalChar"/>
    <w:rsid w:val="0086730B"/>
    <w:pPr>
      <w:bidi/>
      <w:ind w:firstLine="288"/>
      <w:jc w:val="lowKashida"/>
    </w:pPr>
    <w:rPr>
      <w:rFonts w:ascii="Times New Roman" w:eastAsia="Times New Roman" w:hAnsi="Times New Roman" w:cs="B Badr"/>
      <w:color w:val="000000"/>
      <w:sz w:val="32"/>
      <w:szCs w:val="32"/>
    </w:rPr>
  </w:style>
  <w:style w:type="character" w:customStyle="1" w:styleId="libNormalChar">
    <w:name w:val="libNormal Char"/>
    <w:link w:val="libNormal"/>
    <w:rsid w:val="0086730B"/>
    <w:rPr>
      <w:rFonts w:ascii="Times New Roman" w:eastAsia="Times New Roman" w:hAnsi="Times New Roman" w:cs="B Badr"/>
      <w:color w:val="000000"/>
      <w:sz w:val="32"/>
      <w:szCs w:val="32"/>
    </w:rPr>
  </w:style>
  <w:style w:type="character" w:customStyle="1" w:styleId="libFootnotenumChar">
    <w:name w:val="libFootnote_num Char"/>
    <w:link w:val="libFootnotenum"/>
    <w:rsid w:val="0086730B"/>
    <w:rPr>
      <w:rFonts w:ascii="B Badr" w:eastAsia="B Badr" w:hAnsi="B Badr" w:cs="B Badr"/>
      <w:color w:val="C00000"/>
      <w:sz w:val="24"/>
      <w:szCs w:val="24"/>
      <w:vertAlign w:val="superscript"/>
    </w:rPr>
  </w:style>
  <w:style w:type="paragraph" w:customStyle="1" w:styleId="libAlaem">
    <w:name w:val="libAlaem"/>
    <w:basedOn w:val="libNormal"/>
    <w:link w:val="libAlaemChar"/>
    <w:rsid w:val="0086730B"/>
    <w:rPr>
      <w:rFonts w:cs="Rafed Alaem"/>
    </w:rPr>
  </w:style>
  <w:style w:type="character" w:customStyle="1" w:styleId="libAlaemChar">
    <w:name w:val="libAlaem Char"/>
    <w:link w:val="libAlaem"/>
    <w:rsid w:val="0086730B"/>
    <w:rPr>
      <w:rFonts w:ascii="Times New Roman" w:eastAsia="Times New Roman" w:hAnsi="Times New Roman" w:cs="Rafed Alaem"/>
      <w:color w:val="000000"/>
      <w:sz w:val="32"/>
      <w:szCs w:val="32"/>
    </w:rPr>
  </w:style>
  <w:style w:type="paragraph" w:customStyle="1" w:styleId="textsstyles4">
    <w:name w:val="textsstyles4"/>
    <w:basedOn w:val="a3"/>
    <w:rsid w:val="0086730B"/>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fa-IR"/>
    </w:rPr>
  </w:style>
  <w:style w:type="character" w:customStyle="1" w:styleId="htext">
    <w:name w:val="htext"/>
    <w:rsid w:val="0086730B"/>
  </w:style>
  <w:style w:type="character" w:customStyle="1" w:styleId="pageno">
    <w:name w:val="pageno"/>
    <w:rsid w:val="0086730B"/>
  </w:style>
  <w:style w:type="character" w:customStyle="1" w:styleId="magsimg">
    <w:name w:val="magsimg"/>
    <w:rsid w:val="0086730B"/>
  </w:style>
  <w:style w:type="paragraph" w:customStyle="1" w:styleId="25">
    <w:name w:val="نقل قول2"/>
    <w:basedOn w:val="14"/>
    <w:link w:val="2Char0"/>
    <w:rsid w:val="0086730B"/>
    <w:pPr>
      <w:spacing w:line="216" w:lineRule="auto"/>
      <w:ind w:firstLine="1134"/>
    </w:pPr>
    <w:rPr>
      <w:color w:val="000000"/>
      <w:szCs w:val="24"/>
    </w:rPr>
  </w:style>
  <w:style w:type="paragraph" w:customStyle="1" w:styleId="afffd">
    <w:name w:val="تیتر فصلها"/>
    <w:basedOn w:val="a3"/>
    <w:rsid w:val="0086730B"/>
    <w:pPr>
      <w:spacing w:line="480" w:lineRule="auto"/>
      <w:jc w:val="center"/>
    </w:pPr>
    <w:rPr>
      <w:rFonts w:ascii="Symbol" w:hAnsi="Symbol" w:cs="B Titr"/>
      <w:b/>
      <w:bCs/>
      <w:color w:val="000000"/>
      <w:sz w:val="72"/>
      <w:szCs w:val="72"/>
      <w:lang w:bidi="fa-IR"/>
    </w:rPr>
  </w:style>
  <w:style w:type="paragraph" w:customStyle="1" w:styleId="Style2">
    <w:name w:val="Style2"/>
    <w:basedOn w:val="Style1"/>
    <w:link w:val="Style2Char"/>
    <w:rsid w:val="0086730B"/>
    <w:pPr>
      <w:tabs>
        <w:tab w:val="clear" w:pos="149"/>
        <w:tab w:val="clear" w:pos="716"/>
      </w:tabs>
      <w:spacing w:line="216" w:lineRule="auto"/>
      <w:ind w:left="284" w:hanging="284"/>
    </w:pPr>
    <w:rPr>
      <w:rFonts w:ascii="Symbol" w:hAnsi="Symbol"/>
      <w:color w:val="000000"/>
      <w:szCs w:val="22"/>
      <w:lang w:val="en-US" w:eastAsia="en-US"/>
    </w:rPr>
  </w:style>
  <w:style w:type="paragraph" w:customStyle="1" w:styleId="Style4">
    <w:name w:val="Style4"/>
    <w:basedOn w:val="a7"/>
    <w:rsid w:val="0086730B"/>
    <w:pPr>
      <w:tabs>
        <w:tab w:val="clear" w:pos="149"/>
        <w:tab w:val="clear" w:pos="716"/>
      </w:tabs>
      <w:spacing w:line="216" w:lineRule="auto"/>
      <w:ind w:left="284" w:hanging="284"/>
      <w:jc w:val="both"/>
    </w:pPr>
    <w:rPr>
      <w:rFonts w:ascii="Symbol" w:eastAsia="Calibri" w:hAnsi="Symbol"/>
      <w:color w:val="000000"/>
      <w:sz w:val="22"/>
      <w:szCs w:val="22"/>
      <w:lang w:bidi="fa-IR"/>
    </w:rPr>
  </w:style>
  <w:style w:type="character" w:customStyle="1" w:styleId="sharh">
    <w:name w:val="sharh"/>
    <w:rsid w:val="0086730B"/>
  </w:style>
  <w:style w:type="character" w:customStyle="1" w:styleId="ayah">
    <w:name w:val="ayah"/>
    <w:rsid w:val="0086730B"/>
  </w:style>
  <w:style w:type="character" w:customStyle="1" w:styleId="uflts51">
    <w:name w:val="uf_lts51"/>
    <w:rsid w:val="0086730B"/>
  </w:style>
  <w:style w:type="character" w:customStyle="1" w:styleId="txtbook">
    <w:name w:val="txtbook"/>
    <w:rsid w:val="0086730B"/>
  </w:style>
  <w:style w:type="paragraph" w:customStyle="1" w:styleId="26">
    <w:name w:val="صفحه عنوان 2"/>
    <w:basedOn w:val="a3"/>
    <w:rsid w:val="000B6811"/>
    <w:pPr>
      <w:spacing w:line="264" w:lineRule="auto"/>
      <w:ind w:firstLine="0"/>
      <w:jc w:val="center"/>
    </w:pPr>
    <w:rPr>
      <w:rFonts w:cs="MRT_Poster_12"/>
      <w:sz w:val="40"/>
      <w:szCs w:val="40"/>
      <w:lang w:bidi="fa-IR"/>
    </w:rPr>
  </w:style>
  <w:style w:type="paragraph" w:customStyle="1" w:styleId="6">
    <w:name w:val="تیت6"/>
    <w:basedOn w:val="51"/>
    <w:qFormat/>
    <w:rsid w:val="0086730B"/>
    <w:pPr>
      <w:numPr>
        <w:ilvl w:val="5"/>
        <w:numId w:val="4"/>
      </w:numPr>
      <w:tabs>
        <w:tab w:val="right" w:pos="0"/>
        <w:tab w:val="right" w:pos="1558"/>
      </w:tabs>
      <w:spacing w:before="80" w:after="40" w:line="264" w:lineRule="auto"/>
    </w:pPr>
    <w:rPr>
      <w:color w:val="000000"/>
    </w:rPr>
  </w:style>
  <w:style w:type="character" w:styleId="afffe">
    <w:name w:val="page number"/>
    <w:rsid w:val="0086730B"/>
  </w:style>
  <w:style w:type="paragraph" w:styleId="affff">
    <w:name w:val="Document Map"/>
    <w:basedOn w:val="a3"/>
    <w:link w:val="Charfa"/>
    <w:rsid w:val="0086730B"/>
    <w:pPr>
      <w:shd w:val="clear" w:color="auto" w:fill="000080"/>
      <w:spacing w:after="20" w:line="240" w:lineRule="auto"/>
      <w:ind w:firstLine="0"/>
      <w:jc w:val="left"/>
      <w:outlineLvl w:val="0"/>
    </w:pPr>
    <w:rPr>
      <w:rFonts w:ascii="Tahoma" w:eastAsia="Times New Roman" w:hAnsi="Tahoma" w:cs="Tahoma"/>
      <w:color w:val="262626"/>
      <w:sz w:val="20"/>
      <w:szCs w:val="20"/>
      <w:lang w:bidi="fa-IR"/>
    </w:rPr>
  </w:style>
  <w:style w:type="character" w:customStyle="1" w:styleId="Charfa">
    <w:name w:val="خريطة المستند Char"/>
    <w:link w:val="affff"/>
    <w:rsid w:val="0086730B"/>
    <w:rPr>
      <w:rFonts w:ascii="Tahoma" w:eastAsia="Times New Roman" w:hAnsi="Tahoma" w:cs="Tahoma"/>
      <w:color w:val="262626"/>
      <w:shd w:val="clear" w:color="auto" w:fill="000080"/>
      <w:lang w:bidi="fa-IR"/>
    </w:rPr>
  </w:style>
  <w:style w:type="paragraph" w:customStyle="1" w:styleId="heading">
    <w:name w:val="heading"/>
    <w:basedOn w:val="a3"/>
    <w:rsid w:val="0086730B"/>
    <w:pPr>
      <w:spacing w:after="20" w:line="276" w:lineRule="auto"/>
      <w:ind w:left="15" w:firstLine="0"/>
      <w:jc w:val="center"/>
      <w:outlineLvl w:val="0"/>
    </w:pPr>
    <w:rPr>
      <w:rFonts w:ascii="IranNastaliq" w:eastAsia="Times New Roman" w:hAnsi="IranNastaliq" w:cs="IranNastaliq"/>
      <w:color w:val="262626"/>
      <w:sz w:val="160"/>
      <w:szCs w:val="160"/>
      <w:lang w:bidi="fa-IR"/>
    </w:rPr>
  </w:style>
  <w:style w:type="character" w:styleId="affff0">
    <w:name w:val="Emphasis"/>
    <w:uiPriority w:val="20"/>
    <w:qFormat/>
    <w:rsid w:val="0086730B"/>
    <w:rPr>
      <w:rFonts w:cs="B Badr"/>
      <w:i/>
      <w:iCs w:val="0"/>
      <w:szCs w:val="28"/>
    </w:rPr>
  </w:style>
  <w:style w:type="character" w:customStyle="1" w:styleId="BalloonTextChar1">
    <w:name w:val="Balloon Text Char1"/>
    <w:uiPriority w:val="99"/>
    <w:rsid w:val="0086730B"/>
    <w:rPr>
      <w:rFonts w:ascii="Segoe UI" w:hAnsi="Segoe UI" w:cs="Segoe UI"/>
      <w:sz w:val="18"/>
      <w:szCs w:val="18"/>
    </w:rPr>
  </w:style>
  <w:style w:type="character" w:customStyle="1" w:styleId="IntenseQuoteChar1">
    <w:name w:val="Intense Quote Char1"/>
    <w:uiPriority w:val="30"/>
    <w:rsid w:val="0086730B"/>
    <w:rPr>
      <w:rFonts w:cs="NoorZar"/>
      <w:i/>
      <w:iCs/>
      <w:color w:val="5B9BD5"/>
      <w:szCs w:val="30"/>
    </w:rPr>
  </w:style>
  <w:style w:type="paragraph" w:customStyle="1" w:styleId="affff1">
    <w:name w:val="روایات پاورقی"/>
    <w:basedOn w:val="a7"/>
    <w:next w:val="afff"/>
    <w:rsid w:val="0086730B"/>
    <w:pPr>
      <w:ind w:left="0" w:firstLine="0"/>
      <w:jc w:val="both"/>
      <w:outlineLvl w:val="0"/>
    </w:pPr>
    <w:rPr>
      <w:rFonts w:ascii="Traditional Arabic" w:hAnsi="Traditional Arabic" w:cs="Traditional Arabic"/>
      <w:bCs/>
      <w:lang w:bidi="fa-IR"/>
    </w:rPr>
  </w:style>
  <w:style w:type="paragraph" w:customStyle="1" w:styleId="15">
    <w:name w:val="متن1"/>
    <w:basedOn w:val="a3"/>
    <w:link w:val="1Char1"/>
    <w:autoRedefine/>
    <w:rsid w:val="0086730B"/>
    <w:pPr>
      <w:widowControl w:val="0"/>
      <w:spacing w:line="540" w:lineRule="exact"/>
      <w:ind w:firstLine="0"/>
      <w:jc w:val="both"/>
    </w:pPr>
    <w:rPr>
      <w:rFonts w:ascii="2  Baran Outline" w:eastAsia="Times New Roman" w:hAnsi="WDG" w:cs="2  Badr"/>
      <w:sz w:val="26"/>
      <w:szCs w:val="26"/>
      <w:lang w:bidi="fa-IR"/>
    </w:rPr>
  </w:style>
  <w:style w:type="character" w:customStyle="1" w:styleId="1Char1">
    <w:name w:val="متن1 Char"/>
    <w:link w:val="15"/>
    <w:rsid w:val="0086730B"/>
    <w:rPr>
      <w:rFonts w:ascii="2  Baran Outline" w:eastAsia="Times New Roman" w:hAnsi="WDG" w:cs="2  Badr"/>
      <w:sz w:val="26"/>
      <w:szCs w:val="26"/>
      <w:lang w:bidi="fa-IR"/>
    </w:rPr>
  </w:style>
  <w:style w:type="paragraph" w:customStyle="1" w:styleId="71">
    <w:name w:val="حدیث7"/>
    <w:basedOn w:val="a8"/>
    <w:link w:val="7Char0"/>
    <w:autoRedefine/>
    <w:rsid w:val="0086730B"/>
    <w:pPr>
      <w:widowControl w:val="0"/>
      <w:bidi/>
      <w:spacing w:before="0" w:beforeAutospacing="0" w:after="0" w:afterAutospacing="0" w:line="540" w:lineRule="exact"/>
      <w:ind w:left="1134" w:firstLine="0"/>
      <w:jc w:val="both"/>
    </w:pPr>
    <w:rPr>
      <w:rFonts w:cs="Lotus"/>
      <w:b/>
      <w:bCs/>
    </w:rPr>
  </w:style>
  <w:style w:type="character" w:customStyle="1" w:styleId="7Char0">
    <w:name w:val="حدیث7 Char"/>
    <w:link w:val="71"/>
    <w:rsid w:val="0086730B"/>
    <w:rPr>
      <w:rFonts w:ascii="Times New Roman" w:eastAsia="Times New Roman" w:hAnsi="Times New Roman" w:cs="Lotus"/>
      <w:b/>
      <w:bCs/>
      <w:sz w:val="24"/>
      <w:szCs w:val="24"/>
    </w:rPr>
  </w:style>
  <w:style w:type="paragraph" w:customStyle="1" w:styleId="34">
    <w:name w:val="تیتر3"/>
    <w:basedOn w:val="a3"/>
    <w:link w:val="3Char0"/>
    <w:autoRedefine/>
    <w:rsid w:val="0086730B"/>
    <w:pPr>
      <w:widowControl w:val="0"/>
      <w:spacing w:before="200" w:line="540" w:lineRule="exact"/>
      <w:ind w:firstLine="0"/>
      <w:jc w:val="both"/>
    </w:pPr>
    <w:rPr>
      <w:rFonts w:ascii="2  Mitra" w:eastAsia="Times New Roman" w:hAnsi="2  Mitra" w:cs="2  Mitra"/>
      <w:b/>
      <w:bCs/>
      <w:lang w:bidi="fa-IR"/>
    </w:rPr>
  </w:style>
  <w:style w:type="character" w:customStyle="1" w:styleId="3Char0">
    <w:name w:val="تیتر3 Char"/>
    <w:link w:val="34"/>
    <w:rsid w:val="0086730B"/>
    <w:rPr>
      <w:rFonts w:ascii="2  Mitra" w:eastAsia="Times New Roman" w:hAnsi="2  Mitra" w:cs="2  Mitra"/>
      <w:b/>
      <w:bCs/>
      <w:sz w:val="28"/>
      <w:szCs w:val="28"/>
      <w:lang w:bidi="fa-IR"/>
    </w:rPr>
  </w:style>
  <w:style w:type="paragraph" w:customStyle="1" w:styleId="16">
    <w:name w:val="آیات1"/>
    <w:basedOn w:val="a3"/>
    <w:link w:val="1Char2"/>
    <w:autoRedefine/>
    <w:rsid w:val="0086730B"/>
    <w:pPr>
      <w:widowControl w:val="0"/>
      <w:spacing w:line="540" w:lineRule="exact"/>
      <w:ind w:left="1134" w:firstLine="0"/>
      <w:jc w:val="both"/>
    </w:pPr>
    <w:rPr>
      <w:rFonts w:ascii="Saihat" w:eastAsia="Times New Roman" w:hAnsi="Saihat" w:cs="Saihat"/>
      <w:b/>
      <w:bCs/>
      <w:sz w:val="26"/>
      <w:szCs w:val="26"/>
      <w:lang w:bidi="fa-IR"/>
    </w:rPr>
  </w:style>
  <w:style w:type="character" w:customStyle="1" w:styleId="1Char2">
    <w:name w:val="آیات1 Char"/>
    <w:link w:val="16"/>
    <w:rsid w:val="0086730B"/>
    <w:rPr>
      <w:rFonts w:ascii="Saihat" w:eastAsia="Times New Roman" w:hAnsi="Saihat" w:cs="Saihat"/>
      <w:b/>
      <w:bCs/>
      <w:sz w:val="26"/>
      <w:szCs w:val="26"/>
      <w:lang w:bidi="fa-IR"/>
    </w:rPr>
  </w:style>
  <w:style w:type="paragraph" w:customStyle="1" w:styleId="52">
    <w:name w:val="تیتر فرعی5"/>
    <w:basedOn w:val="a3"/>
    <w:link w:val="5Char0"/>
    <w:autoRedefine/>
    <w:rsid w:val="0086730B"/>
    <w:pPr>
      <w:widowControl w:val="0"/>
      <w:spacing w:before="60" w:line="264" w:lineRule="auto"/>
      <w:ind w:firstLine="0"/>
      <w:jc w:val="both"/>
    </w:pPr>
    <w:rPr>
      <w:rFonts w:ascii="2  Mitra" w:eastAsia="Times New Roman" w:hAnsi="2  Mitra" w:cs="B Yagut"/>
      <w:lang w:bidi="fa-IR"/>
    </w:rPr>
  </w:style>
  <w:style w:type="character" w:customStyle="1" w:styleId="5Char0">
    <w:name w:val="تیتر فرعی5 Char"/>
    <w:link w:val="52"/>
    <w:rsid w:val="0086730B"/>
    <w:rPr>
      <w:rFonts w:ascii="2  Mitra" w:eastAsia="Times New Roman" w:hAnsi="2  Mitra" w:cs="B Yagut"/>
      <w:sz w:val="28"/>
      <w:szCs w:val="28"/>
      <w:lang w:bidi="fa-IR"/>
    </w:rPr>
  </w:style>
  <w:style w:type="paragraph" w:customStyle="1" w:styleId="44">
    <w:name w:val="نقل قول عربی4"/>
    <w:basedOn w:val="15"/>
    <w:link w:val="4Char0"/>
    <w:autoRedefine/>
    <w:rsid w:val="0086730B"/>
    <w:rPr>
      <w:rFonts w:ascii="Saihat" w:hAnsi="Saihat" w:cs="B Zar"/>
      <w:b/>
      <w:i/>
      <w:iCs/>
      <w:color w:val="000000"/>
      <w:sz w:val="28"/>
      <w:szCs w:val="28"/>
    </w:rPr>
  </w:style>
  <w:style w:type="character" w:customStyle="1" w:styleId="4Char0">
    <w:name w:val="نقل قول عربی4 Char"/>
    <w:link w:val="44"/>
    <w:rsid w:val="0086730B"/>
    <w:rPr>
      <w:rFonts w:ascii="Saihat" w:eastAsia="Times New Roman" w:hAnsi="Saihat" w:cs="B Zar"/>
      <w:b/>
      <w:i/>
      <w:iCs/>
      <w:color w:val="000000"/>
      <w:sz w:val="28"/>
      <w:szCs w:val="28"/>
      <w:lang w:bidi="fa-IR"/>
    </w:rPr>
  </w:style>
  <w:style w:type="character" w:customStyle="1" w:styleId="2Char0">
    <w:name w:val="نقل قول2 Char"/>
    <w:link w:val="25"/>
    <w:rsid w:val="0086730B"/>
    <w:rPr>
      <w:rFonts w:ascii="Symbol" w:hAnsi="Symbol" w:cs="B Zar"/>
      <w:color w:val="000000"/>
      <w:sz w:val="26"/>
      <w:szCs w:val="24"/>
      <w:lang w:bidi="fa-IR"/>
    </w:rPr>
  </w:style>
  <w:style w:type="paragraph" w:styleId="a">
    <w:name w:val="List Bullet"/>
    <w:basedOn w:val="a3"/>
    <w:uiPriority w:val="99"/>
    <w:unhideWhenUsed/>
    <w:rsid w:val="0086730B"/>
    <w:pPr>
      <w:numPr>
        <w:numId w:val="1"/>
      </w:numPr>
      <w:bidi w:val="0"/>
      <w:spacing w:line="400" w:lineRule="exact"/>
      <w:contextualSpacing/>
      <w:jc w:val="both"/>
    </w:pPr>
    <w:rPr>
      <w:rFonts w:cs="B Badr"/>
      <w:sz w:val="20"/>
      <w:szCs w:val="24"/>
    </w:rPr>
  </w:style>
  <w:style w:type="paragraph" w:customStyle="1" w:styleId="affff2">
    <w:name w:val="متن اصلی"/>
    <w:basedOn w:val="a3"/>
    <w:link w:val="Charfb"/>
    <w:rsid w:val="0086730B"/>
    <w:pPr>
      <w:spacing w:line="240" w:lineRule="auto"/>
      <w:ind w:firstLine="340"/>
      <w:jc w:val="both"/>
    </w:pPr>
    <w:rPr>
      <w:rFonts w:ascii="Times New Roman" w:eastAsia="Times New Roman" w:hAnsi="Times New Roman"/>
      <w:lang w:bidi="fa-IR"/>
    </w:rPr>
  </w:style>
  <w:style w:type="character" w:customStyle="1" w:styleId="Charfb">
    <w:name w:val="متن اصلی Char"/>
    <w:link w:val="affff2"/>
    <w:rsid w:val="0086730B"/>
    <w:rPr>
      <w:rFonts w:ascii="Times New Roman" w:eastAsia="Times New Roman" w:hAnsi="Times New Roman" w:cs="B Lotus"/>
      <w:sz w:val="28"/>
      <w:szCs w:val="28"/>
      <w:lang w:bidi="fa-IR"/>
    </w:rPr>
  </w:style>
  <w:style w:type="paragraph" w:customStyle="1" w:styleId="affff3">
    <w:name w:val="اصلى"/>
    <w:uiPriority w:val="99"/>
    <w:rsid w:val="0086730B"/>
    <w:pPr>
      <w:autoSpaceDE w:val="0"/>
      <w:autoSpaceDN w:val="0"/>
      <w:bidi/>
      <w:spacing w:line="399" w:lineRule="atLeast"/>
      <w:jc w:val="both"/>
    </w:pPr>
    <w:rPr>
      <w:rFonts w:ascii="Times New Roman" w:eastAsia="Times New Roman" w:hAnsi="Times New Roman" w:cs="Lotus"/>
      <w:sz w:val="24"/>
      <w:szCs w:val="28"/>
    </w:rPr>
  </w:style>
  <w:style w:type="paragraph" w:customStyle="1" w:styleId="17">
    <w:name w:val="نقل قول1"/>
    <w:basedOn w:val="a3"/>
    <w:rsid w:val="0086730B"/>
    <w:pPr>
      <w:spacing w:line="276" w:lineRule="auto"/>
      <w:ind w:left="1440" w:firstLine="0"/>
      <w:jc w:val="left"/>
    </w:pPr>
    <w:rPr>
      <w:rFonts w:eastAsia="Times New Roman" w:cs="B Badr"/>
      <w:b/>
      <w:bCs/>
      <w:lang w:bidi="fa-IR"/>
    </w:rPr>
  </w:style>
  <w:style w:type="paragraph" w:customStyle="1" w:styleId="18">
    <w:name w:val="پاورقى1"/>
    <w:uiPriority w:val="99"/>
    <w:rsid w:val="0086730B"/>
    <w:pPr>
      <w:autoSpaceDE w:val="0"/>
      <w:autoSpaceDN w:val="0"/>
      <w:bidi/>
      <w:spacing w:line="313" w:lineRule="atLeast"/>
      <w:jc w:val="both"/>
    </w:pPr>
    <w:rPr>
      <w:rFonts w:ascii="Times New Roman" w:eastAsia="Times New Roman" w:hAnsi="Times New Roman" w:cs="Zar"/>
    </w:rPr>
  </w:style>
  <w:style w:type="paragraph" w:customStyle="1" w:styleId="27">
    <w:name w:val="ترجمه2"/>
    <w:basedOn w:val="a3"/>
    <w:rsid w:val="0086730B"/>
    <w:pPr>
      <w:widowControl w:val="0"/>
      <w:spacing w:line="240" w:lineRule="auto"/>
      <w:ind w:left="851" w:firstLine="0"/>
      <w:jc w:val="both"/>
    </w:pPr>
    <w:rPr>
      <w:rFonts w:cs="B Badr"/>
      <w:lang w:bidi="fa-IR"/>
    </w:rPr>
  </w:style>
  <w:style w:type="paragraph" w:customStyle="1" w:styleId="19">
    <w:name w:val="تیتر1"/>
    <w:basedOn w:val="a3"/>
    <w:rsid w:val="0086730B"/>
    <w:pPr>
      <w:widowControl w:val="0"/>
      <w:spacing w:before="120" w:line="240" w:lineRule="auto"/>
      <w:ind w:firstLine="0"/>
      <w:jc w:val="left"/>
    </w:pPr>
    <w:rPr>
      <w:rFonts w:cs="B Badr"/>
      <w:b/>
      <w:bCs/>
      <w:lang w:bidi="fa-IR"/>
    </w:rPr>
  </w:style>
  <w:style w:type="paragraph" w:customStyle="1" w:styleId="35">
    <w:name w:val="متن3"/>
    <w:basedOn w:val="a3"/>
    <w:qFormat/>
    <w:rsid w:val="00155784"/>
    <w:pPr>
      <w:widowControl w:val="0"/>
      <w:spacing w:line="264" w:lineRule="auto"/>
      <w:ind w:firstLine="397"/>
      <w:jc w:val="both"/>
    </w:pPr>
    <w:rPr>
      <w:rFonts w:ascii="Abo-thar" w:hAnsi="Abo-thar" w:cs="Lotus Linotype"/>
      <w:sz w:val="32"/>
      <w:szCs w:val="30"/>
      <w:lang w:bidi="ar-IQ"/>
    </w:rPr>
  </w:style>
  <w:style w:type="character" w:customStyle="1" w:styleId="1a">
    <w:name w:val="ترجمه نویسه1"/>
    <w:rsid w:val="0086730B"/>
    <w:rPr>
      <w:rFonts w:ascii="Badr" w:hAnsi="Badr" w:cs="Badr"/>
      <w:sz w:val="28"/>
      <w:szCs w:val="28"/>
      <w:lang w:val="en-US" w:eastAsia="en-US" w:bidi="ar-SA"/>
    </w:rPr>
  </w:style>
  <w:style w:type="paragraph" w:styleId="affff4">
    <w:name w:val="Body Text Indent"/>
    <w:basedOn w:val="a3"/>
    <w:link w:val="Charfc"/>
    <w:uiPriority w:val="99"/>
    <w:unhideWhenUsed/>
    <w:rsid w:val="0086730B"/>
    <w:pPr>
      <w:spacing w:line="360" w:lineRule="auto"/>
      <w:ind w:left="-180" w:firstLine="0"/>
    </w:pPr>
    <w:rPr>
      <w:rFonts w:ascii="Times New Roman" w:eastAsia="Times New Roman" w:hAnsi="Times New Roman" w:cs="Times New Roman"/>
      <w:lang w:bidi="fa-IR"/>
    </w:rPr>
  </w:style>
  <w:style w:type="character" w:customStyle="1" w:styleId="Charfc">
    <w:name w:val="نص أساسي بمسافة بادئة Char"/>
    <w:link w:val="affff4"/>
    <w:uiPriority w:val="99"/>
    <w:rsid w:val="0086730B"/>
    <w:rPr>
      <w:rFonts w:ascii="Times New Roman" w:eastAsia="Times New Roman" w:hAnsi="Times New Roman" w:cs="Times New Roman"/>
      <w:sz w:val="28"/>
      <w:szCs w:val="28"/>
      <w:lang w:bidi="fa-IR"/>
    </w:rPr>
  </w:style>
  <w:style w:type="character" w:customStyle="1" w:styleId="SubtitleChar1">
    <w:name w:val="Subtitle Char1"/>
    <w:aliases w:val="پاورقی Char1"/>
    <w:uiPriority w:val="11"/>
    <w:rsid w:val="0086730B"/>
    <w:rPr>
      <w:rFonts w:eastAsia="Times New Roman"/>
      <w:color w:val="5A5A5A"/>
      <w:spacing w:val="15"/>
    </w:rPr>
  </w:style>
  <w:style w:type="paragraph" w:styleId="28">
    <w:name w:val="Body Text Indent 2"/>
    <w:basedOn w:val="a3"/>
    <w:link w:val="2Char1"/>
    <w:unhideWhenUsed/>
    <w:rsid w:val="0086730B"/>
    <w:pPr>
      <w:spacing w:line="360" w:lineRule="auto"/>
      <w:ind w:left="-180" w:firstLine="121"/>
      <w:jc w:val="both"/>
    </w:pPr>
    <w:rPr>
      <w:rFonts w:ascii="Times New Roman" w:eastAsia="Times New Roman" w:hAnsi="Times New Roman"/>
      <w:lang w:bidi="fa-IR"/>
    </w:rPr>
  </w:style>
  <w:style w:type="character" w:customStyle="1" w:styleId="2Char1">
    <w:name w:val="نص أساسي بمسافة بادئة 2 Char"/>
    <w:link w:val="28"/>
    <w:rsid w:val="0086730B"/>
    <w:rPr>
      <w:rFonts w:ascii="Times New Roman" w:eastAsia="Times New Roman" w:hAnsi="Times New Roman" w:cs="B Lotus"/>
      <w:sz w:val="28"/>
      <w:szCs w:val="28"/>
      <w:lang w:bidi="fa-IR"/>
    </w:rPr>
  </w:style>
  <w:style w:type="paragraph" w:styleId="affff5">
    <w:name w:val="Block Text"/>
    <w:basedOn w:val="a3"/>
    <w:unhideWhenUsed/>
    <w:rsid w:val="0086730B"/>
    <w:pPr>
      <w:spacing w:line="360" w:lineRule="auto"/>
      <w:ind w:left="360" w:right="540" w:firstLine="0"/>
    </w:pPr>
    <w:rPr>
      <w:rFonts w:ascii="Times New Roman" w:eastAsia="Times New Roman" w:hAnsi="Times New Roman" w:cs="Times New Roman"/>
      <w:lang w:bidi="fa-IR"/>
    </w:rPr>
  </w:style>
  <w:style w:type="character" w:customStyle="1" w:styleId="rfdNormal0Char">
    <w:name w:val="rfdNormal0 Char"/>
    <w:link w:val="rfdNormal0"/>
    <w:locked/>
    <w:rsid w:val="0086730B"/>
    <w:rPr>
      <w:rFonts w:ascii="Traditional Arabic" w:hAnsi="Traditional Arabic" w:cs="Traditional Arabic"/>
      <w:color w:val="000000"/>
      <w:sz w:val="24"/>
      <w:szCs w:val="32"/>
    </w:rPr>
  </w:style>
  <w:style w:type="paragraph" w:customStyle="1" w:styleId="rfdNormal0">
    <w:name w:val="rfdNormal0"/>
    <w:basedOn w:val="a3"/>
    <w:link w:val="rfdNormal0Char"/>
    <w:rsid w:val="0086730B"/>
    <w:pPr>
      <w:spacing w:line="240" w:lineRule="auto"/>
      <w:ind w:firstLine="0"/>
    </w:pPr>
    <w:rPr>
      <w:rFonts w:ascii="Traditional Arabic" w:hAnsi="Traditional Arabic" w:cs="Traditional Arabic"/>
      <w:color w:val="000000"/>
      <w:sz w:val="24"/>
      <w:szCs w:val="32"/>
    </w:rPr>
  </w:style>
  <w:style w:type="character" w:customStyle="1" w:styleId="rfdPoemTiniChar">
    <w:name w:val="rfdPoemTini Char"/>
    <w:link w:val="rfdPoemTini"/>
    <w:locked/>
    <w:rsid w:val="0086730B"/>
    <w:rPr>
      <w:rFonts w:ascii="Traditional Arabic" w:hAnsi="Traditional Arabic" w:cs="Traditional Arabic"/>
      <w:color w:val="000000"/>
      <w:sz w:val="24"/>
      <w:szCs w:val="2"/>
    </w:rPr>
  </w:style>
  <w:style w:type="paragraph" w:customStyle="1" w:styleId="rfdPoemTini">
    <w:name w:val="rfdPoemTini"/>
    <w:basedOn w:val="rfdNormal0"/>
    <w:link w:val="rfdPoemTiniChar"/>
    <w:rsid w:val="0086730B"/>
    <w:rPr>
      <w:szCs w:val="2"/>
    </w:rPr>
  </w:style>
  <w:style w:type="paragraph" w:customStyle="1" w:styleId="rfdPoem">
    <w:name w:val="rfdPoem"/>
    <w:basedOn w:val="rfdNormal0"/>
    <w:rsid w:val="0086730B"/>
  </w:style>
  <w:style w:type="character" w:styleId="affff6">
    <w:name w:val="Placeholder Text"/>
    <w:uiPriority w:val="99"/>
    <w:semiHidden/>
    <w:rsid w:val="0086730B"/>
    <w:rPr>
      <w:color w:val="808080"/>
    </w:rPr>
  </w:style>
  <w:style w:type="character" w:customStyle="1" w:styleId="bodytextmed3highlighted1">
    <w:name w:val="bodytextmed3highlighted1"/>
    <w:rsid w:val="0086730B"/>
    <w:rPr>
      <w:b/>
      <w:bCs/>
      <w:sz w:val="12"/>
      <w:szCs w:val="12"/>
    </w:rPr>
  </w:style>
  <w:style w:type="character" w:customStyle="1" w:styleId="slicetext1">
    <w:name w:val="slicetext1"/>
    <w:rsid w:val="0086730B"/>
    <w:rPr>
      <w:color w:val="000000"/>
    </w:rPr>
  </w:style>
  <w:style w:type="character" w:customStyle="1" w:styleId="HeaderChar1">
    <w:name w:val="Header Char1"/>
    <w:uiPriority w:val="99"/>
    <w:semiHidden/>
    <w:rsid w:val="0086730B"/>
  </w:style>
  <w:style w:type="character" w:customStyle="1" w:styleId="FooterChar1">
    <w:name w:val="Footer Char1"/>
    <w:uiPriority w:val="99"/>
    <w:semiHidden/>
    <w:rsid w:val="0086730B"/>
  </w:style>
  <w:style w:type="table" w:customStyle="1" w:styleId="TableGrid11">
    <w:name w:val="Table Grid11"/>
    <w:basedOn w:val="a5"/>
    <w:rsid w:val="0086730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7">
    <w:name w:val="بدون تو رفتگی"/>
    <w:basedOn w:val="a3"/>
    <w:uiPriority w:val="99"/>
    <w:rsid w:val="0086730B"/>
    <w:pPr>
      <w:widowControl w:val="0"/>
      <w:tabs>
        <w:tab w:val="right" w:leader="dot" w:pos="4140"/>
      </w:tabs>
      <w:suppressAutoHyphens/>
      <w:autoSpaceDE w:val="0"/>
      <w:autoSpaceDN w:val="0"/>
      <w:adjustRightInd w:val="0"/>
      <w:spacing w:after="57" w:line="440" w:lineRule="atLeast"/>
      <w:ind w:firstLine="0"/>
      <w:jc w:val="both"/>
    </w:pPr>
    <w:rPr>
      <w:rFonts w:ascii="w_Lotus" w:eastAsia="Times New Roman" w:hAnsi="w_Lotus" w:cs="w_Lotus"/>
      <w:color w:val="000000"/>
      <w:lang w:bidi="fa-IR"/>
    </w:rPr>
  </w:style>
  <w:style w:type="paragraph" w:customStyle="1" w:styleId="affff8">
    <w:name w:val="آيات"/>
    <w:basedOn w:val="a3"/>
    <w:uiPriority w:val="99"/>
    <w:rsid w:val="0086730B"/>
    <w:pPr>
      <w:widowControl w:val="0"/>
      <w:tabs>
        <w:tab w:val="left" w:leader="dot" w:pos="7920"/>
      </w:tabs>
      <w:suppressAutoHyphens/>
      <w:autoSpaceDE w:val="0"/>
      <w:autoSpaceDN w:val="0"/>
      <w:adjustRightInd w:val="0"/>
      <w:spacing w:after="57" w:line="480" w:lineRule="atLeast"/>
      <w:ind w:left="964" w:right="283" w:hanging="170"/>
      <w:jc w:val="both"/>
    </w:pPr>
    <w:rPr>
      <w:rFonts w:ascii="wm_Naskh Qurani 93" w:eastAsia="Times New Roman" w:hAnsi="wm_Naskh Qurani 93" w:cs="wm_Naskh Qurani 93"/>
      <w:color w:val="000000"/>
      <w:sz w:val="27"/>
      <w:szCs w:val="27"/>
      <w:lang w:bidi="fa-IR"/>
    </w:rPr>
  </w:style>
  <w:style w:type="paragraph" w:customStyle="1" w:styleId="BasicParagraph">
    <w:name w:val="[Basic Paragraph]"/>
    <w:basedOn w:val="a3"/>
    <w:uiPriority w:val="99"/>
    <w:rsid w:val="0086730B"/>
    <w:pPr>
      <w:widowControl w:val="0"/>
      <w:tabs>
        <w:tab w:val="left" w:pos="5788"/>
        <w:tab w:val="right" w:pos="9027"/>
      </w:tabs>
      <w:autoSpaceDE w:val="0"/>
      <w:autoSpaceDN w:val="0"/>
      <w:adjustRightInd w:val="0"/>
      <w:spacing w:line="360" w:lineRule="atLeast"/>
      <w:ind w:left="283" w:hanging="283"/>
      <w:jc w:val="both"/>
    </w:pPr>
    <w:rPr>
      <w:rFonts w:ascii="w_Lotus" w:eastAsia="Times New Roman" w:hAnsi="w_Lotus" w:cs="w_Lotus"/>
      <w:color w:val="000000"/>
      <w:sz w:val="24"/>
      <w:szCs w:val="24"/>
      <w:lang w:bidi="fa-IR"/>
    </w:rPr>
  </w:style>
  <w:style w:type="paragraph" w:customStyle="1" w:styleId="03">
    <w:name w:val="03"/>
    <w:basedOn w:val="a3"/>
    <w:uiPriority w:val="99"/>
    <w:rsid w:val="0086730B"/>
    <w:pPr>
      <w:spacing w:line="240" w:lineRule="auto"/>
      <w:ind w:firstLine="0"/>
      <w:jc w:val="both"/>
    </w:pPr>
    <w:rPr>
      <w:rFonts w:ascii="Noor_Mitra" w:eastAsia="Times New Roman" w:hAnsi="Noor_Mitra" w:cs="B Mitra"/>
      <w:b/>
      <w:bCs/>
      <w:sz w:val="32"/>
      <w:szCs w:val="32"/>
    </w:rPr>
  </w:style>
  <w:style w:type="character" w:customStyle="1" w:styleId="affff9">
    <w:name w:val="بلد"/>
    <w:uiPriority w:val="99"/>
    <w:rsid w:val="0086730B"/>
    <w:rPr>
      <w:b/>
      <w:bCs w:val="0"/>
    </w:rPr>
  </w:style>
  <w:style w:type="character" w:customStyle="1" w:styleId="affffa">
    <w:name w:val="بلد ایتالیگ"/>
    <w:uiPriority w:val="99"/>
    <w:rsid w:val="0086730B"/>
    <w:rPr>
      <w:b/>
      <w:bCs w:val="0"/>
    </w:rPr>
  </w:style>
  <w:style w:type="paragraph" w:styleId="affffb">
    <w:name w:val="Normal Indent"/>
    <w:basedOn w:val="a3"/>
    <w:uiPriority w:val="99"/>
    <w:rsid w:val="0086730B"/>
    <w:pPr>
      <w:bidi w:val="0"/>
      <w:spacing w:after="200" w:line="276" w:lineRule="auto"/>
      <w:ind w:left="720" w:firstLine="0"/>
      <w:jc w:val="left"/>
    </w:pPr>
    <w:rPr>
      <w:rFonts w:cs="Arial"/>
      <w:sz w:val="22"/>
      <w:szCs w:val="22"/>
    </w:rPr>
  </w:style>
  <w:style w:type="table" w:customStyle="1" w:styleId="TableGrid12">
    <w:name w:val="Table Grid12"/>
    <w:basedOn w:val="a5"/>
    <w:next w:val="afff6"/>
    <w:rsid w:val="0086730B"/>
    <w:rPr>
      <w:rFonts w:ascii="Times New Roman" w:eastAsia="SimSu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a5"/>
    <w:next w:val="afff6"/>
    <w:rsid w:val="0086730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5"/>
    <w:next w:val="afff6"/>
    <w:rsid w:val="0086730B"/>
    <w:rPr>
      <w:rFonts w:ascii="Times New Roman" w:eastAsia="SimSu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a5"/>
    <w:next w:val="afff6"/>
    <w:rsid w:val="0086730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6730B"/>
  </w:style>
  <w:style w:type="paragraph" w:styleId="HTML">
    <w:name w:val="HTML Preformatted"/>
    <w:basedOn w:val="a3"/>
    <w:link w:val="HTMLChar"/>
    <w:uiPriority w:val="99"/>
    <w:unhideWhenUsed/>
    <w:rsid w:val="0086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sz w:val="20"/>
      <w:szCs w:val="20"/>
      <w:lang w:bidi="fa-IR"/>
    </w:rPr>
  </w:style>
  <w:style w:type="character" w:customStyle="1" w:styleId="HTMLChar">
    <w:name w:val="بتنسيق HTML مسبق Char"/>
    <w:link w:val="HTML"/>
    <w:uiPriority w:val="99"/>
    <w:rsid w:val="0086730B"/>
    <w:rPr>
      <w:rFonts w:ascii="Courier New" w:eastAsia="Times New Roman" w:hAnsi="Courier New" w:cs="Courier New"/>
      <w:lang w:bidi="fa-IR"/>
    </w:rPr>
  </w:style>
  <w:style w:type="paragraph" w:customStyle="1" w:styleId="affffc">
    <w:name w:val="a"/>
    <w:basedOn w:val="a3"/>
    <w:rsid w:val="0086730B"/>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fa-IR"/>
    </w:rPr>
  </w:style>
  <w:style w:type="paragraph" w:customStyle="1" w:styleId="a00">
    <w:name w:val="a0"/>
    <w:basedOn w:val="a3"/>
    <w:rsid w:val="0086730B"/>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fa-IR"/>
    </w:rPr>
  </w:style>
  <w:style w:type="paragraph" w:customStyle="1" w:styleId="affffd">
    <w:name w:val="متن بدون تو رفتگی"/>
    <w:basedOn w:val="a3"/>
    <w:uiPriority w:val="99"/>
    <w:rsid w:val="0086730B"/>
    <w:pPr>
      <w:suppressAutoHyphens/>
      <w:autoSpaceDE w:val="0"/>
      <w:autoSpaceDN w:val="0"/>
      <w:adjustRightInd w:val="0"/>
      <w:spacing w:after="57" w:line="440" w:lineRule="atLeast"/>
      <w:ind w:firstLine="0"/>
      <w:jc w:val="both"/>
      <w:textAlignment w:val="center"/>
    </w:pPr>
    <w:rPr>
      <w:rFonts w:ascii="w_Lotus" w:hAnsi="w_Lotus" w:cs="w_Lotus"/>
      <w:color w:val="000000"/>
      <w:sz w:val="26"/>
      <w:szCs w:val="26"/>
      <w:lang w:bidi="fa-IR"/>
    </w:rPr>
  </w:style>
  <w:style w:type="paragraph" w:customStyle="1" w:styleId="affffe">
    <w:name w:val="نقل قول فارسی"/>
    <w:basedOn w:val="affe"/>
    <w:uiPriority w:val="99"/>
    <w:rsid w:val="0086730B"/>
    <w:pPr>
      <w:suppressAutoHyphens/>
      <w:autoSpaceDE w:val="0"/>
      <w:autoSpaceDN w:val="0"/>
      <w:adjustRightInd w:val="0"/>
      <w:spacing w:before="113" w:after="113" w:line="380" w:lineRule="atLeast"/>
      <w:ind w:left="567" w:right="283"/>
      <w:jc w:val="both"/>
      <w:textAlignment w:val="center"/>
    </w:pPr>
    <w:rPr>
      <w:rFonts w:ascii="w_Roya" w:hAnsi="w_Roya" w:cs="w_Roya"/>
      <w:color w:val="000000"/>
      <w:sz w:val="25"/>
      <w:szCs w:val="25"/>
    </w:rPr>
  </w:style>
  <w:style w:type="paragraph" w:customStyle="1" w:styleId="afffff">
    <w:name w:val="سرصفحه های صفحات زوج"/>
    <w:rsid w:val="0086730B"/>
    <w:pPr>
      <w:bidi/>
    </w:pPr>
    <w:rPr>
      <w:rFonts w:ascii="w_Lotus" w:eastAsia="Times New Roman" w:hAnsi="w_Lotus" w:cs="B Yagut"/>
      <w:b/>
      <w:bCs/>
      <w:noProof/>
      <w:color w:val="000000"/>
      <w:sz w:val="25"/>
      <w:szCs w:val="25"/>
    </w:rPr>
  </w:style>
  <w:style w:type="paragraph" w:customStyle="1" w:styleId="afffff0">
    <w:name w:val="سرصفحه های صفحات فرد"/>
    <w:rsid w:val="0086730B"/>
    <w:pPr>
      <w:bidi/>
      <w:jc w:val="right"/>
    </w:pPr>
    <w:rPr>
      <w:rFonts w:ascii="w_Lotus" w:eastAsia="Times New Roman" w:hAnsi="w_Lotus" w:cs="B Yagut"/>
      <w:b/>
      <w:bCs/>
      <w:noProof/>
      <w:color w:val="000000"/>
      <w:sz w:val="25"/>
      <w:szCs w:val="25"/>
    </w:rPr>
  </w:style>
  <w:style w:type="character" w:customStyle="1" w:styleId="afffff1">
    <w:name w:val="ايتاليك منابع"/>
    <w:uiPriority w:val="99"/>
    <w:rsid w:val="0086730B"/>
    <w:rPr>
      <w:i/>
      <w:iCs/>
      <w:color w:val="000000"/>
      <w:w w:val="100"/>
    </w:rPr>
  </w:style>
  <w:style w:type="paragraph" w:customStyle="1" w:styleId="a2">
    <w:name w:val="شماره گذاری"/>
    <w:basedOn w:val="ab"/>
    <w:rsid w:val="0086730B"/>
    <w:pPr>
      <w:numPr>
        <w:ilvl w:val="3"/>
        <w:numId w:val="2"/>
      </w:numPr>
      <w:tabs>
        <w:tab w:val="right" w:pos="0"/>
      </w:tabs>
      <w:spacing w:after="40"/>
      <w:ind w:left="709" w:hanging="284"/>
      <w:jc w:val="both"/>
      <w:outlineLvl w:val="0"/>
    </w:pPr>
    <w:rPr>
      <w:lang w:bidi="fa-IR"/>
    </w:rPr>
  </w:style>
  <w:style w:type="character" w:customStyle="1" w:styleId="afffff2">
    <w:name w:val="بلد ایتالیک"/>
    <w:uiPriority w:val="99"/>
    <w:rsid w:val="0086730B"/>
    <w:rPr>
      <w:rFonts w:ascii="w_Lotus" w:hAnsi="w_Lotus" w:cs="w_Lotus" w:hint="default"/>
      <w:b/>
      <w:bCs/>
      <w:lang w:bidi="ar-SA"/>
    </w:rPr>
  </w:style>
  <w:style w:type="character" w:customStyle="1" w:styleId="45">
    <w:name w:val="سبک4 نویسه"/>
    <w:uiPriority w:val="99"/>
    <w:rsid w:val="0086730B"/>
  </w:style>
  <w:style w:type="paragraph" w:customStyle="1" w:styleId="afffff3">
    <w:name w:val="باتورفتگی"/>
    <w:basedOn w:val="a3"/>
    <w:uiPriority w:val="99"/>
    <w:rsid w:val="0086730B"/>
    <w:pPr>
      <w:widowControl w:val="0"/>
      <w:suppressAutoHyphens/>
      <w:autoSpaceDE w:val="0"/>
      <w:autoSpaceDN w:val="0"/>
      <w:adjustRightInd w:val="0"/>
      <w:spacing w:after="57" w:line="400" w:lineRule="atLeast"/>
      <w:ind w:firstLine="283"/>
      <w:jc w:val="both"/>
    </w:pPr>
    <w:rPr>
      <w:rFonts w:ascii="w_Lotus" w:eastAsia="Times New Roman" w:hAnsi="w_Lotus" w:cs="w_Lotus"/>
      <w:color w:val="000000"/>
      <w:sz w:val="25"/>
      <w:szCs w:val="25"/>
      <w:lang w:bidi="fa-IR"/>
    </w:rPr>
  </w:style>
  <w:style w:type="character" w:customStyle="1" w:styleId="1b">
    <w:name w:val="سبک1 نویسه"/>
    <w:uiPriority w:val="99"/>
    <w:rsid w:val="0086730B"/>
    <w:rPr>
      <w:rFonts w:ascii="Badr" w:cs="Badr" w:hint="cs"/>
      <w:w w:val="100"/>
      <w:sz w:val="28"/>
      <w:szCs w:val="28"/>
      <w:lang w:val="en-US" w:bidi="ar-SA"/>
    </w:rPr>
  </w:style>
  <w:style w:type="paragraph" w:customStyle="1" w:styleId="afffff4">
    <w:name w:val="منابع"/>
    <w:basedOn w:val="a3"/>
    <w:uiPriority w:val="99"/>
    <w:rsid w:val="0086730B"/>
    <w:pPr>
      <w:widowControl w:val="0"/>
      <w:tabs>
        <w:tab w:val="left" w:pos="851"/>
      </w:tabs>
      <w:suppressAutoHyphens/>
      <w:autoSpaceDE w:val="0"/>
      <w:autoSpaceDN w:val="0"/>
      <w:adjustRightInd w:val="0"/>
      <w:spacing w:after="57" w:line="432" w:lineRule="atLeast"/>
      <w:ind w:left="851" w:hanging="567"/>
      <w:jc w:val="both"/>
    </w:pPr>
    <w:rPr>
      <w:rFonts w:ascii="Taher" w:eastAsia="Times New Roman" w:cs="Taher"/>
      <w:color w:val="000000"/>
      <w:sz w:val="26"/>
      <w:szCs w:val="26"/>
      <w:lang w:bidi="ar-YE"/>
    </w:rPr>
  </w:style>
  <w:style w:type="character" w:customStyle="1" w:styleId="Charc">
    <w:name w:val="متن Char"/>
    <w:link w:val="aff1"/>
    <w:rsid w:val="0086730B"/>
    <w:rPr>
      <w:rFonts w:cs="B Badr"/>
      <w:sz w:val="28"/>
      <w:szCs w:val="28"/>
      <w:lang w:bidi="fa-IR"/>
    </w:rPr>
  </w:style>
  <w:style w:type="paragraph" w:customStyle="1" w:styleId="Style5">
    <w:name w:val="Style5"/>
    <w:basedOn w:val="Style4"/>
    <w:rsid w:val="0086730B"/>
    <w:pPr>
      <w:keepNext/>
      <w:keepLines/>
      <w:numPr>
        <w:ilvl w:val="2"/>
        <w:numId w:val="3"/>
      </w:numPr>
      <w:spacing w:before="40" w:line="276" w:lineRule="auto"/>
      <w:jc w:val="left"/>
      <w:outlineLvl w:val="2"/>
    </w:pPr>
    <w:rPr>
      <w:rFonts w:ascii="B Zar" w:eastAsia="Times New Roman" w:hAnsi="B Zar" w:cs="B Zar"/>
      <w:b/>
      <w:bCs/>
      <w:sz w:val="28"/>
      <w:szCs w:val="24"/>
    </w:rPr>
  </w:style>
  <w:style w:type="character" w:customStyle="1" w:styleId="spnbooktitle">
    <w:name w:val="spnbooktitle"/>
    <w:rsid w:val="0086730B"/>
  </w:style>
  <w:style w:type="character" w:customStyle="1" w:styleId="lblbookinfo">
    <w:name w:val="lblbookinfo"/>
    <w:rsid w:val="0086730B"/>
  </w:style>
  <w:style w:type="character" w:customStyle="1" w:styleId="spnbookinfo">
    <w:name w:val="spnbookinfo"/>
    <w:rsid w:val="0086730B"/>
  </w:style>
  <w:style w:type="paragraph" w:customStyle="1" w:styleId="afffff5">
    <w:name w:val="کلمات مؤکد پاورقی"/>
    <w:basedOn w:val="af1"/>
    <w:link w:val="Charfd"/>
    <w:rsid w:val="0086730B"/>
    <w:pPr>
      <w:widowControl w:val="0"/>
      <w:tabs>
        <w:tab w:val="clear" w:pos="149"/>
        <w:tab w:val="clear" w:pos="716"/>
      </w:tabs>
      <w:spacing w:line="240" w:lineRule="auto"/>
      <w:ind w:left="0" w:firstLine="0"/>
      <w:jc w:val="left"/>
    </w:pPr>
    <w:rPr>
      <w:rFonts w:ascii="NoorZar" w:eastAsia="Calibri" w:hAnsi="NoorZar" w:cs="NoorZar"/>
      <w:b/>
      <w:bCs/>
      <w:sz w:val="18"/>
      <w:szCs w:val="18"/>
    </w:rPr>
  </w:style>
  <w:style w:type="character" w:customStyle="1" w:styleId="Charfd">
    <w:name w:val="کلمات مؤکد پاورقی Char"/>
    <w:link w:val="afffff5"/>
    <w:rsid w:val="0086730B"/>
    <w:rPr>
      <w:rFonts w:ascii="NoorZar" w:hAnsi="NoorZar" w:cs="NoorZar"/>
      <w:b/>
      <w:bCs/>
      <w:sz w:val="18"/>
      <w:szCs w:val="18"/>
      <w:lang w:bidi="fa-IR"/>
    </w:rPr>
  </w:style>
  <w:style w:type="paragraph" w:customStyle="1" w:styleId="afffff6">
    <w:name w:val="نقل قول مستقیم"/>
    <w:basedOn w:val="affe"/>
    <w:link w:val="Charfe"/>
    <w:qFormat/>
    <w:rsid w:val="0086730B"/>
    <w:pPr>
      <w:spacing w:before="0"/>
      <w:ind w:left="856" w:right="142"/>
      <w:jc w:val="both"/>
    </w:pPr>
    <w:rPr>
      <w:rFonts w:ascii="Tahoma" w:eastAsia="Times New Roman" w:hAnsi="Tahoma"/>
    </w:rPr>
  </w:style>
  <w:style w:type="character" w:customStyle="1" w:styleId="Charfe">
    <w:name w:val="نقل قول مستقیم Char"/>
    <w:link w:val="afffff6"/>
    <w:rsid w:val="0086730B"/>
    <w:rPr>
      <w:rFonts w:ascii="Tahoma" w:eastAsia="Times New Roman" w:hAnsi="Tahoma" w:cs="B Zar"/>
      <w:sz w:val="26"/>
      <w:szCs w:val="26"/>
      <w:lang w:bidi="fa-IR"/>
    </w:rPr>
  </w:style>
  <w:style w:type="paragraph" w:customStyle="1" w:styleId="36">
    <w:name w:val="تيتر3"/>
    <w:basedOn w:val="a3"/>
    <w:link w:val="3Char1"/>
    <w:autoRedefine/>
    <w:qFormat/>
    <w:rsid w:val="0086730B"/>
    <w:pPr>
      <w:spacing w:line="276" w:lineRule="auto"/>
      <w:ind w:firstLine="0"/>
    </w:pPr>
    <w:rPr>
      <w:rFonts w:ascii="NoorZar" w:hAnsi="NoorZar" w:cs="NoorZar"/>
      <w:b/>
      <w:bCs/>
      <w:sz w:val="30"/>
      <w:szCs w:val="30"/>
      <w:lang w:bidi="fa-IR"/>
    </w:rPr>
  </w:style>
  <w:style w:type="character" w:customStyle="1" w:styleId="3Char1">
    <w:name w:val="تيتر3 Char"/>
    <w:link w:val="36"/>
    <w:rsid w:val="0086730B"/>
    <w:rPr>
      <w:rFonts w:ascii="NoorZar" w:hAnsi="NoorZar" w:cs="NoorZar"/>
      <w:b/>
      <w:bCs/>
      <w:sz w:val="30"/>
      <w:szCs w:val="30"/>
      <w:lang w:bidi="fa-IR"/>
    </w:rPr>
  </w:style>
  <w:style w:type="paragraph" w:customStyle="1" w:styleId="53">
    <w:name w:val="تیتر 5"/>
    <w:basedOn w:val="a3"/>
    <w:rsid w:val="0086730B"/>
    <w:pPr>
      <w:spacing w:line="276" w:lineRule="auto"/>
      <w:ind w:firstLine="0"/>
    </w:pPr>
    <w:rPr>
      <w:rFonts w:ascii="NoorZar" w:hAnsi="NoorZar" w:cs="NoorZar"/>
      <w:b/>
      <w:bCs/>
      <w:sz w:val="30"/>
      <w:szCs w:val="30"/>
      <w:lang w:bidi="fa-IR"/>
    </w:rPr>
  </w:style>
  <w:style w:type="paragraph" w:customStyle="1" w:styleId="29">
    <w:name w:val="عنوان اصلی (تیتر 2)"/>
    <w:basedOn w:val="a3"/>
    <w:link w:val="2Char2"/>
    <w:rsid w:val="0086730B"/>
    <w:pPr>
      <w:spacing w:line="276" w:lineRule="auto"/>
      <w:jc w:val="left"/>
    </w:pPr>
    <w:rPr>
      <w:rFonts w:ascii="NoorZar" w:hAnsi="NoorZar" w:cs="NoorZar"/>
      <w:b/>
      <w:bCs/>
      <w:lang w:bidi="fa-IR"/>
    </w:rPr>
  </w:style>
  <w:style w:type="paragraph" w:customStyle="1" w:styleId="2a">
    <w:name w:val="عنوان اصلی (تیتر2)"/>
    <w:basedOn w:val="a3"/>
    <w:link w:val="2Char3"/>
    <w:rsid w:val="0086730B"/>
    <w:pPr>
      <w:spacing w:line="276" w:lineRule="auto"/>
      <w:jc w:val="left"/>
      <w:outlineLvl w:val="1"/>
    </w:pPr>
    <w:rPr>
      <w:rFonts w:ascii="NoorZar" w:hAnsi="NoorZar" w:cs="NoorZar"/>
      <w:b/>
      <w:bCs/>
      <w:sz w:val="32"/>
      <w:szCs w:val="32"/>
      <w:lang w:bidi="fa-IR"/>
    </w:rPr>
  </w:style>
  <w:style w:type="character" w:customStyle="1" w:styleId="2Char2">
    <w:name w:val="عنوان اصلی (تیتر 2) Char"/>
    <w:link w:val="29"/>
    <w:rsid w:val="0086730B"/>
    <w:rPr>
      <w:rFonts w:ascii="NoorZar" w:hAnsi="NoorZar" w:cs="NoorZar"/>
      <w:b/>
      <w:bCs/>
      <w:sz w:val="28"/>
      <w:szCs w:val="28"/>
      <w:lang w:bidi="fa-IR"/>
    </w:rPr>
  </w:style>
  <w:style w:type="paragraph" w:customStyle="1" w:styleId="37">
    <w:name w:val="عنوان فرعی (تیتر3)"/>
    <w:basedOn w:val="a3"/>
    <w:link w:val="3Char2"/>
    <w:rsid w:val="0086730B"/>
    <w:pPr>
      <w:keepNext/>
      <w:widowControl w:val="0"/>
      <w:spacing w:line="276" w:lineRule="auto"/>
      <w:jc w:val="left"/>
      <w:outlineLvl w:val="2"/>
    </w:pPr>
    <w:rPr>
      <w:rFonts w:ascii="NoorZar" w:hAnsi="NoorZar" w:cs="NoorZar"/>
      <w:b/>
      <w:bCs/>
      <w:sz w:val="30"/>
      <w:szCs w:val="30"/>
      <w:lang w:bidi="fa-IR"/>
    </w:rPr>
  </w:style>
  <w:style w:type="character" w:customStyle="1" w:styleId="2Char3">
    <w:name w:val="عنوان اصلی (تیتر2) Char"/>
    <w:link w:val="2a"/>
    <w:rsid w:val="0086730B"/>
    <w:rPr>
      <w:rFonts w:ascii="NoorZar" w:hAnsi="NoorZar" w:cs="NoorZar"/>
      <w:b/>
      <w:bCs/>
      <w:sz w:val="32"/>
      <w:szCs w:val="32"/>
      <w:lang w:bidi="fa-IR"/>
    </w:rPr>
  </w:style>
  <w:style w:type="paragraph" w:customStyle="1" w:styleId="46">
    <w:name w:val="زیر عنوان فرعی (تیتر4)"/>
    <w:basedOn w:val="a3"/>
    <w:link w:val="4Char1"/>
    <w:rsid w:val="0086730B"/>
    <w:pPr>
      <w:keepNext/>
      <w:widowControl w:val="0"/>
      <w:spacing w:line="276" w:lineRule="auto"/>
      <w:jc w:val="left"/>
      <w:outlineLvl w:val="3"/>
    </w:pPr>
    <w:rPr>
      <w:rFonts w:ascii="NoorZar" w:hAnsi="NoorZar" w:cs="NoorZar"/>
      <w:b/>
      <w:bCs/>
      <w:sz w:val="22"/>
      <w:szCs w:val="22"/>
      <w:lang w:bidi="fa-IR"/>
    </w:rPr>
  </w:style>
  <w:style w:type="character" w:customStyle="1" w:styleId="3Char2">
    <w:name w:val="عنوان فرعی (تیتر3) Char"/>
    <w:link w:val="37"/>
    <w:rsid w:val="0086730B"/>
    <w:rPr>
      <w:rFonts w:ascii="NoorZar" w:hAnsi="NoorZar" w:cs="NoorZar"/>
      <w:b/>
      <w:bCs/>
      <w:sz w:val="30"/>
      <w:szCs w:val="30"/>
      <w:lang w:bidi="fa-IR"/>
    </w:rPr>
  </w:style>
  <w:style w:type="paragraph" w:customStyle="1" w:styleId="54">
    <w:name w:val="عنوان متصل به متن (تیتر5)"/>
    <w:basedOn w:val="a3"/>
    <w:link w:val="5Char1"/>
    <w:rsid w:val="0086730B"/>
    <w:pPr>
      <w:keepNext/>
      <w:widowControl w:val="0"/>
      <w:spacing w:line="276" w:lineRule="auto"/>
      <w:jc w:val="left"/>
      <w:outlineLvl w:val="4"/>
    </w:pPr>
    <w:rPr>
      <w:rFonts w:ascii="NoorZar" w:hAnsi="NoorZar" w:cs="NoorZar"/>
      <w:b/>
      <w:bCs/>
      <w:sz w:val="20"/>
      <w:szCs w:val="20"/>
      <w:lang w:bidi="fa-IR"/>
    </w:rPr>
  </w:style>
  <w:style w:type="character" w:customStyle="1" w:styleId="4Char1">
    <w:name w:val="زیر عنوان فرعی (تیتر4) Char"/>
    <w:link w:val="46"/>
    <w:rsid w:val="0086730B"/>
    <w:rPr>
      <w:rFonts w:ascii="NoorZar" w:hAnsi="NoorZar" w:cs="NoorZar"/>
      <w:b/>
      <w:bCs/>
      <w:sz w:val="22"/>
      <w:szCs w:val="22"/>
      <w:lang w:bidi="fa-IR"/>
    </w:rPr>
  </w:style>
  <w:style w:type="character" w:customStyle="1" w:styleId="5Char1">
    <w:name w:val="عنوان متصل به متن (تیتر5) Char"/>
    <w:link w:val="54"/>
    <w:rsid w:val="0086730B"/>
    <w:rPr>
      <w:rFonts w:ascii="NoorZar" w:hAnsi="NoorZar" w:cs="NoorZar"/>
      <w:b/>
      <w:bCs/>
      <w:lang w:bidi="fa-IR"/>
    </w:rPr>
  </w:style>
  <w:style w:type="paragraph" w:customStyle="1" w:styleId="afffff7">
    <w:name w:val="متون عربی متن"/>
    <w:basedOn w:val="a3"/>
    <w:link w:val="Charff"/>
    <w:rsid w:val="0086730B"/>
    <w:pPr>
      <w:spacing w:line="276" w:lineRule="auto"/>
      <w:jc w:val="left"/>
    </w:pPr>
    <w:rPr>
      <w:rFonts w:ascii="NoorZar" w:hAnsi="NoorZar" w:cs="NoorZar"/>
      <w:sz w:val="30"/>
      <w:szCs w:val="30"/>
    </w:rPr>
  </w:style>
  <w:style w:type="character" w:customStyle="1" w:styleId="Charff">
    <w:name w:val="متون عربی متن Char"/>
    <w:link w:val="afffff7"/>
    <w:rsid w:val="0086730B"/>
    <w:rPr>
      <w:rFonts w:ascii="NoorZar" w:hAnsi="NoorZar" w:cs="NoorZar"/>
      <w:sz w:val="30"/>
      <w:szCs w:val="30"/>
    </w:rPr>
  </w:style>
  <w:style w:type="paragraph" w:customStyle="1" w:styleId="afffff8">
    <w:name w:val="آيه و روايت"/>
    <w:basedOn w:val="a3"/>
    <w:link w:val="Charff0"/>
    <w:rsid w:val="0086730B"/>
    <w:pPr>
      <w:widowControl w:val="0"/>
      <w:bidi w:val="0"/>
      <w:spacing w:line="276" w:lineRule="auto"/>
      <w:ind w:firstLine="397"/>
      <w:jc w:val="left"/>
    </w:pPr>
    <w:rPr>
      <w:rFonts w:ascii="Times New Roman" w:eastAsia="Times New Roman" w:hAnsi="Times New Roman" w:cs="NoorZar"/>
      <w:b/>
      <w:bCs/>
      <w:sz w:val="20"/>
      <w:szCs w:val="20"/>
      <w:lang w:bidi="fa-IR"/>
    </w:rPr>
  </w:style>
  <w:style w:type="character" w:customStyle="1" w:styleId="Charff0">
    <w:name w:val="آيه و روايت Char"/>
    <w:link w:val="afffff8"/>
    <w:rsid w:val="0086730B"/>
    <w:rPr>
      <w:rFonts w:ascii="Times New Roman" w:eastAsia="Times New Roman" w:hAnsi="Times New Roman" w:cs="NoorZar"/>
      <w:b/>
      <w:bCs/>
      <w:lang w:bidi="fa-IR"/>
    </w:rPr>
  </w:style>
  <w:style w:type="paragraph" w:customStyle="1" w:styleId="2b">
    <w:name w:val="تيتر2"/>
    <w:basedOn w:val="1c"/>
    <w:link w:val="2Char4"/>
    <w:uiPriority w:val="99"/>
    <w:qFormat/>
    <w:rsid w:val="0086730B"/>
  </w:style>
  <w:style w:type="character" w:customStyle="1" w:styleId="2Char4">
    <w:name w:val="تيتر2 Char"/>
    <w:link w:val="2b"/>
    <w:uiPriority w:val="99"/>
    <w:rsid w:val="0086730B"/>
    <w:rPr>
      <w:rFonts w:ascii="NoorZar" w:hAnsi="NoorZar" w:cs="NoorZar"/>
      <w:b/>
      <w:bCs/>
      <w:sz w:val="30"/>
      <w:szCs w:val="30"/>
      <w:lang w:bidi="fa-IR"/>
    </w:rPr>
  </w:style>
  <w:style w:type="paragraph" w:customStyle="1" w:styleId="afffff9">
    <w:name w:val="معني آيه روايت"/>
    <w:basedOn w:val="a3"/>
    <w:link w:val="Charff1"/>
    <w:rsid w:val="0086730B"/>
    <w:pPr>
      <w:widowControl w:val="0"/>
      <w:bidi w:val="0"/>
      <w:spacing w:line="276" w:lineRule="auto"/>
      <w:ind w:firstLine="454"/>
      <w:jc w:val="left"/>
    </w:pPr>
    <w:rPr>
      <w:rFonts w:ascii="Times New Roman" w:eastAsia="Times New Roman" w:hAnsi="Times New Roman" w:cs="NoorZar"/>
      <w:sz w:val="30"/>
      <w:szCs w:val="22"/>
      <w:lang w:bidi="fa-IR"/>
    </w:rPr>
  </w:style>
  <w:style w:type="character" w:customStyle="1" w:styleId="Charff1">
    <w:name w:val="معني آيه روايت Char"/>
    <w:link w:val="afffff9"/>
    <w:rsid w:val="0086730B"/>
    <w:rPr>
      <w:rFonts w:ascii="Times New Roman" w:eastAsia="Times New Roman" w:hAnsi="Times New Roman" w:cs="NoorZar"/>
      <w:sz w:val="30"/>
      <w:szCs w:val="22"/>
      <w:lang w:bidi="fa-IR"/>
    </w:rPr>
  </w:style>
  <w:style w:type="character" w:customStyle="1" w:styleId="afffffa">
    <w:name w:val="آيه و روايات"/>
    <w:rsid w:val="0086730B"/>
    <w:rPr>
      <w:b/>
      <w:bCs/>
      <w:sz w:val="22"/>
      <w:szCs w:val="22"/>
    </w:rPr>
  </w:style>
  <w:style w:type="paragraph" w:customStyle="1" w:styleId="Footer1">
    <w:name w:val="Footer1"/>
    <w:basedOn w:val="a7"/>
    <w:link w:val="Footer1Char"/>
    <w:autoRedefine/>
    <w:rsid w:val="0086730B"/>
    <w:pPr>
      <w:widowControl w:val="0"/>
      <w:tabs>
        <w:tab w:val="clear" w:pos="149"/>
        <w:tab w:val="clear" w:pos="716"/>
      </w:tabs>
      <w:bidi w:val="0"/>
      <w:spacing w:line="276" w:lineRule="auto"/>
      <w:ind w:left="0" w:firstLine="0"/>
      <w:jc w:val="center"/>
    </w:pPr>
    <w:rPr>
      <w:rFonts w:eastAsia="SimSun" w:cs="0 Nazanin"/>
      <w:b/>
      <w:bCs/>
      <w:sz w:val="20"/>
      <w:szCs w:val="26"/>
      <w:lang w:eastAsia="zh-CN" w:bidi="fa-IR"/>
    </w:rPr>
  </w:style>
  <w:style w:type="character" w:customStyle="1" w:styleId="Footer1Char">
    <w:name w:val="Footer1 Char"/>
    <w:link w:val="Footer1"/>
    <w:rsid w:val="0086730B"/>
    <w:rPr>
      <w:rFonts w:ascii="Times New Roman" w:eastAsia="SimSun" w:hAnsi="Times New Roman" w:cs="0 Nazanin"/>
      <w:b/>
      <w:bCs/>
      <w:szCs w:val="26"/>
      <w:lang w:eastAsia="zh-CN" w:bidi="fa-IR"/>
    </w:rPr>
  </w:style>
  <w:style w:type="paragraph" w:styleId="afffffb">
    <w:name w:val="caption"/>
    <w:basedOn w:val="a3"/>
    <w:next w:val="a3"/>
    <w:rsid w:val="0086730B"/>
    <w:pPr>
      <w:widowControl w:val="0"/>
      <w:bidi w:val="0"/>
      <w:spacing w:line="276" w:lineRule="auto"/>
      <w:ind w:firstLine="0"/>
      <w:jc w:val="left"/>
    </w:pPr>
    <w:rPr>
      <w:rFonts w:ascii="Times New Roman" w:eastAsia="SimSun" w:hAnsi="Times New Roman" w:cs="Times New Roman"/>
      <w:b/>
      <w:bCs/>
      <w:sz w:val="20"/>
      <w:szCs w:val="20"/>
      <w:lang w:eastAsia="zh-CN" w:bidi="fa-IR"/>
    </w:rPr>
  </w:style>
  <w:style w:type="paragraph" w:customStyle="1" w:styleId="1d">
    <w:name w:val="تيتر1"/>
    <w:basedOn w:val="10"/>
    <w:rsid w:val="0086730B"/>
    <w:pPr>
      <w:keepNext/>
      <w:widowControl w:val="0"/>
      <w:spacing w:before="840" w:beforeAutospacing="0" w:after="660" w:afterAutospacing="0" w:line="276" w:lineRule="auto"/>
      <w:ind w:firstLine="0"/>
      <w:jc w:val="center"/>
    </w:pPr>
    <w:rPr>
      <w:rFonts w:ascii="Cambria" w:hAnsi="Cambria" w:cs="IranNastaliq"/>
      <w:b w:val="0"/>
      <w:bCs w:val="0"/>
      <w:kern w:val="32"/>
      <w:sz w:val="40"/>
      <w:szCs w:val="40"/>
      <w:lang w:bidi="fa-IR"/>
    </w:rPr>
  </w:style>
  <w:style w:type="paragraph" w:customStyle="1" w:styleId="afffffc">
    <w:name w:val="محبوبه"/>
    <w:basedOn w:val="a3"/>
    <w:rsid w:val="0086730B"/>
    <w:pPr>
      <w:widowControl w:val="0"/>
      <w:bidi w:val="0"/>
      <w:spacing w:line="360" w:lineRule="auto"/>
      <w:ind w:firstLine="0"/>
      <w:jc w:val="left"/>
    </w:pPr>
    <w:rPr>
      <w:rFonts w:ascii="Times New Roman" w:eastAsia="Times New Roman" w:hAnsi="Times New Roman" w:cs="Times New Roman"/>
      <w:sz w:val="24"/>
      <w:szCs w:val="24"/>
      <w:lang w:bidi="fa-IR"/>
    </w:rPr>
  </w:style>
  <w:style w:type="character" w:customStyle="1" w:styleId="Style">
    <w:name w:val="Style"/>
    <w:rsid w:val="0086730B"/>
    <w:rPr>
      <w:rFonts w:cs="Lotus"/>
      <w:sz w:val="30"/>
      <w:szCs w:val="20"/>
      <w:vertAlign w:val="superscript"/>
    </w:rPr>
  </w:style>
  <w:style w:type="paragraph" w:customStyle="1" w:styleId="38">
    <w:name w:val="تيتر3جديد"/>
    <w:basedOn w:val="36"/>
    <w:link w:val="3Char3"/>
    <w:rsid w:val="0086730B"/>
    <w:rPr>
      <w:sz w:val="32"/>
    </w:rPr>
  </w:style>
  <w:style w:type="character" w:customStyle="1" w:styleId="3Char3">
    <w:name w:val="تيتر3جديد Char"/>
    <w:link w:val="38"/>
    <w:rsid w:val="0086730B"/>
    <w:rPr>
      <w:rFonts w:ascii="NoorZar" w:hAnsi="NoorZar" w:cs="NoorZar"/>
      <w:b/>
      <w:bCs/>
      <w:sz w:val="32"/>
      <w:szCs w:val="30"/>
      <w:lang w:bidi="fa-IR"/>
    </w:rPr>
  </w:style>
  <w:style w:type="character" w:customStyle="1" w:styleId="Style2Char">
    <w:name w:val="Style2 Char"/>
    <w:link w:val="Style2"/>
    <w:locked/>
    <w:rsid w:val="0086730B"/>
    <w:rPr>
      <w:rFonts w:ascii="Symbol" w:hAnsi="Symbol" w:cs="B Lotus"/>
      <w:color w:val="000000"/>
      <w:sz w:val="28"/>
      <w:szCs w:val="22"/>
      <w:lang w:bidi="fa-IR"/>
    </w:rPr>
  </w:style>
  <w:style w:type="paragraph" w:customStyle="1" w:styleId="Footer2">
    <w:name w:val="Footer2"/>
    <w:basedOn w:val="a7"/>
    <w:autoRedefine/>
    <w:rsid w:val="0086730B"/>
    <w:pPr>
      <w:widowControl w:val="0"/>
      <w:tabs>
        <w:tab w:val="clear" w:pos="149"/>
        <w:tab w:val="clear" w:pos="716"/>
      </w:tabs>
      <w:bidi w:val="0"/>
      <w:spacing w:line="276" w:lineRule="auto"/>
      <w:ind w:left="0" w:firstLine="0"/>
      <w:jc w:val="left"/>
    </w:pPr>
    <w:rPr>
      <w:rFonts w:ascii="Nazanin" w:eastAsia="SimSun" w:hAnsi="Nazanin" w:cs="Times New Roman"/>
      <w:sz w:val="26"/>
      <w:szCs w:val="20"/>
      <w:lang w:eastAsia="zh-CN"/>
    </w:rPr>
  </w:style>
  <w:style w:type="character" w:customStyle="1" w:styleId="DocumentMapChar1">
    <w:name w:val="Document Map Char1"/>
    <w:rsid w:val="0086730B"/>
    <w:rPr>
      <w:rFonts w:ascii="Tahoma" w:hAnsi="Tahoma" w:cs="Tahoma"/>
      <w:sz w:val="16"/>
      <w:szCs w:val="16"/>
      <w:lang w:bidi="fa-IR"/>
    </w:rPr>
  </w:style>
  <w:style w:type="paragraph" w:customStyle="1" w:styleId="footer10">
    <w:name w:val="footer1"/>
    <w:basedOn w:val="a3"/>
    <w:autoRedefine/>
    <w:rsid w:val="0086730B"/>
    <w:pPr>
      <w:widowControl w:val="0"/>
      <w:bidi w:val="0"/>
      <w:spacing w:line="276" w:lineRule="auto"/>
      <w:ind w:firstLine="0"/>
      <w:jc w:val="left"/>
    </w:pPr>
    <w:rPr>
      <w:rFonts w:ascii="Nazanin" w:eastAsia="SimSun" w:hAnsi="Nazanin" w:cs="Times New Roman"/>
      <w:sz w:val="30"/>
      <w:szCs w:val="24"/>
      <w:lang w:eastAsia="zh-CN"/>
    </w:rPr>
  </w:style>
  <w:style w:type="character" w:customStyle="1" w:styleId="CharChar2">
    <w:name w:val="Char Char2"/>
    <w:locked/>
    <w:rsid w:val="0086730B"/>
    <w:rPr>
      <w:rFonts w:ascii="Cambria" w:eastAsia="Times New Roman" w:hAnsi="Cambria" w:cs="Courier New"/>
      <w:b/>
      <w:bCs/>
      <w:i/>
      <w:iCs/>
      <w:sz w:val="28"/>
      <w:szCs w:val="28"/>
      <w:lang w:eastAsia="zh-CN"/>
    </w:rPr>
  </w:style>
  <w:style w:type="paragraph" w:customStyle="1" w:styleId="Normalpt13">
    <w:name w:val="Normal+pt13"/>
    <w:basedOn w:val="a3"/>
    <w:link w:val="Normalpt13Char"/>
    <w:rsid w:val="0086730B"/>
    <w:pPr>
      <w:widowControl w:val="0"/>
      <w:bidi w:val="0"/>
      <w:spacing w:line="276" w:lineRule="auto"/>
      <w:ind w:firstLine="0"/>
      <w:jc w:val="left"/>
    </w:pPr>
    <w:rPr>
      <w:rFonts w:ascii="Times New Roman" w:eastAsia="Times New Roman" w:hAnsi="Times New Roman" w:cs="Times New Roman"/>
      <w:sz w:val="24"/>
      <w:szCs w:val="24"/>
      <w:lang w:bidi="fa-IR"/>
    </w:rPr>
  </w:style>
  <w:style w:type="character" w:customStyle="1" w:styleId="Normalpt13Char">
    <w:name w:val="Normal+pt13 Char"/>
    <w:link w:val="Normalpt13"/>
    <w:rsid w:val="0086730B"/>
    <w:rPr>
      <w:rFonts w:ascii="Times New Roman" w:eastAsia="Times New Roman" w:hAnsi="Times New Roman" w:cs="Times New Roman"/>
      <w:sz w:val="24"/>
      <w:szCs w:val="24"/>
      <w:lang w:bidi="fa-IR"/>
    </w:rPr>
  </w:style>
  <w:style w:type="character" w:customStyle="1" w:styleId="Charff2">
    <w:name w:val="آيه روايت Char"/>
    <w:link w:val="afffffd"/>
    <w:locked/>
    <w:rsid w:val="0086730B"/>
    <w:rPr>
      <w:rFonts w:cs="Lotus"/>
      <w:b/>
      <w:bCs/>
      <w:sz w:val="22"/>
      <w:szCs w:val="22"/>
    </w:rPr>
  </w:style>
  <w:style w:type="paragraph" w:customStyle="1" w:styleId="afffffd">
    <w:name w:val="آيه روايت"/>
    <w:basedOn w:val="a3"/>
    <w:link w:val="Charff2"/>
    <w:rsid w:val="0086730B"/>
    <w:pPr>
      <w:widowControl w:val="0"/>
      <w:bidi w:val="0"/>
      <w:spacing w:line="276" w:lineRule="auto"/>
      <w:ind w:firstLine="567"/>
      <w:jc w:val="left"/>
    </w:pPr>
    <w:rPr>
      <w:rFonts w:cs="Lotus"/>
      <w:b/>
      <w:bCs/>
      <w:sz w:val="22"/>
      <w:szCs w:val="22"/>
    </w:rPr>
  </w:style>
  <w:style w:type="paragraph" w:customStyle="1" w:styleId="msonormalcxspmiddle">
    <w:name w:val="msonormalcxspmiddle"/>
    <w:basedOn w:val="a3"/>
    <w:rsid w:val="0086730B"/>
    <w:pPr>
      <w:widowControl w:val="0"/>
      <w:bidi w:val="0"/>
      <w:spacing w:before="100" w:beforeAutospacing="1" w:after="100" w:afterAutospacing="1" w:line="276" w:lineRule="auto"/>
      <w:ind w:firstLine="0"/>
      <w:jc w:val="left"/>
    </w:pPr>
    <w:rPr>
      <w:rFonts w:ascii="Times New Roman" w:eastAsia="PMingLiU" w:hAnsi="Times New Roman" w:cs="Times New Roman"/>
      <w:sz w:val="24"/>
      <w:szCs w:val="24"/>
      <w:lang w:eastAsia="zh-TW"/>
    </w:rPr>
  </w:style>
  <w:style w:type="paragraph" w:customStyle="1" w:styleId="msonormalcxsplast">
    <w:name w:val="msonormalcxsplast"/>
    <w:basedOn w:val="a3"/>
    <w:rsid w:val="0086730B"/>
    <w:pPr>
      <w:widowControl w:val="0"/>
      <w:bidi w:val="0"/>
      <w:spacing w:before="100" w:beforeAutospacing="1" w:after="100" w:afterAutospacing="1" w:line="276" w:lineRule="auto"/>
      <w:ind w:firstLine="0"/>
      <w:jc w:val="left"/>
    </w:pPr>
    <w:rPr>
      <w:rFonts w:ascii="Times New Roman" w:eastAsia="PMingLiU" w:hAnsi="Times New Roman" w:cs="Times New Roman"/>
      <w:sz w:val="24"/>
      <w:szCs w:val="24"/>
      <w:lang w:eastAsia="zh-TW"/>
    </w:rPr>
  </w:style>
  <w:style w:type="paragraph" w:customStyle="1" w:styleId="47">
    <w:name w:val="تيتر4"/>
    <w:basedOn w:val="36"/>
    <w:link w:val="4Char2"/>
    <w:qFormat/>
    <w:rsid w:val="0086730B"/>
  </w:style>
  <w:style w:type="character" w:customStyle="1" w:styleId="4Char2">
    <w:name w:val="تيتر4 Char"/>
    <w:link w:val="47"/>
    <w:rsid w:val="0086730B"/>
    <w:rPr>
      <w:rFonts w:ascii="NoorZar" w:hAnsi="NoorZar" w:cs="NoorZar"/>
      <w:b/>
      <w:bCs/>
      <w:sz w:val="30"/>
      <w:szCs w:val="30"/>
      <w:lang w:bidi="fa-IR"/>
    </w:rPr>
  </w:style>
  <w:style w:type="paragraph" w:customStyle="1" w:styleId="Normal16pt">
    <w:name w:val="Normal+16pt"/>
    <w:basedOn w:val="a3"/>
    <w:rsid w:val="0086730B"/>
    <w:pPr>
      <w:bidi w:val="0"/>
      <w:spacing w:line="276" w:lineRule="auto"/>
      <w:ind w:firstLine="0"/>
      <w:jc w:val="left"/>
    </w:pPr>
    <w:rPr>
      <w:rFonts w:ascii="Times New Roman" w:eastAsia="Times New Roman" w:hAnsi="Times New Roman" w:cs="Times New Roman"/>
      <w:sz w:val="24"/>
      <w:szCs w:val="24"/>
      <w:lang w:bidi="fa-IR"/>
    </w:rPr>
  </w:style>
  <w:style w:type="character" w:customStyle="1" w:styleId="afffffe">
    <w:name w:val="خط تیره"/>
    <w:rsid w:val="0086730B"/>
    <w:rPr>
      <w:sz w:val="10"/>
      <w:szCs w:val="10"/>
    </w:rPr>
  </w:style>
  <w:style w:type="character" w:customStyle="1" w:styleId="PlainTextChar1">
    <w:name w:val="Plain Text Char1"/>
    <w:rsid w:val="0086730B"/>
    <w:rPr>
      <w:rFonts w:ascii="Courier New" w:hAnsi="Courier New" w:cs="Courier New"/>
      <w:lang w:bidi="fa-IR"/>
    </w:rPr>
  </w:style>
  <w:style w:type="character" w:customStyle="1" w:styleId="CharChar1">
    <w:name w:val="آيه و روايت Char Char"/>
    <w:rsid w:val="0086730B"/>
    <w:rPr>
      <w:rFonts w:cs="Lotus"/>
      <w:b/>
      <w:bCs/>
      <w:sz w:val="22"/>
      <w:szCs w:val="22"/>
    </w:rPr>
  </w:style>
  <w:style w:type="paragraph" w:customStyle="1" w:styleId="Normalpt13ComplexLotus">
    <w:name w:val="Normal+pt13 + (Complex) Lotus"/>
    <w:aliases w:val="11 pt"/>
    <w:basedOn w:val="Normalpt13"/>
    <w:link w:val="Normalpt13ComplexLotus11ptChar"/>
    <w:rsid w:val="0086730B"/>
    <w:pPr>
      <w:widowControl/>
      <w:spacing w:line="420" w:lineRule="exact"/>
    </w:pPr>
    <w:rPr>
      <w:rFonts w:cs="Lotus"/>
      <w:sz w:val="26"/>
      <w:szCs w:val="26"/>
    </w:rPr>
  </w:style>
  <w:style w:type="character" w:customStyle="1" w:styleId="Normalpt13ComplexLotus11ptChar">
    <w:name w:val="Normal+pt13 + (Complex) Lotus.11 pt Char"/>
    <w:link w:val="Normalpt13ComplexLotus"/>
    <w:rsid w:val="0086730B"/>
    <w:rPr>
      <w:rFonts w:ascii="Times New Roman" w:eastAsia="Times New Roman" w:hAnsi="Times New Roman" w:cs="Lotus"/>
      <w:sz w:val="26"/>
      <w:szCs w:val="26"/>
      <w:lang w:bidi="fa-IR"/>
    </w:rPr>
  </w:style>
  <w:style w:type="paragraph" w:customStyle="1" w:styleId="affffff">
    <w:name w:val="اصلی"/>
    <w:basedOn w:val="a3"/>
    <w:autoRedefine/>
    <w:rsid w:val="0086730B"/>
    <w:pPr>
      <w:bidi w:val="0"/>
      <w:spacing w:line="276" w:lineRule="auto"/>
      <w:ind w:firstLine="0"/>
      <w:jc w:val="left"/>
    </w:pPr>
    <w:rPr>
      <w:rFonts w:ascii="Arial" w:hAnsi="Arial" w:cs="NoorZar"/>
      <w:sz w:val="30"/>
      <w:szCs w:val="22"/>
      <w:lang w:bidi="fa-IR"/>
    </w:rPr>
  </w:style>
  <w:style w:type="paragraph" w:customStyle="1" w:styleId="affffff0">
    <w:name w:val="تیتر کوچک"/>
    <w:basedOn w:val="affffff"/>
    <w:autoRedefine/>
    <w:rsid w:val="0086730B"/>
    <w:pPr>
      <w:spacing w:before="200" w:after="200"/>
    </w:pPr>
    <w:rPr>
      <w:bCs/>
      <w:szCs w:val="32"/>
    </w:rPr>
  </w:style>
  <w:style w:type="character" w:customStyle="1" w:styleId="Char4">
    <w:name w:val="عربی Char"/>
    <w:link w:val="ad"/>
    <w:rsid w:val="0086730B"/>
    <w:rPr>
      <w:rFonts w:ascii="Saihat" w:hAnsi="Saihat" w:cs="Saihat"/>
      <w:b/>
      <w:bCs/>
      <w:sz w:val="28"/>
      <w:szCs w:val="28"/>
      <w:lang w:bidi="fa-IR"/>
    </w:rPr>
  </w:style>
  <w:style w:type="paragraph" w:customStyle="1" w:styleId="affffff1">
    <w:name w:val="بیانات"/>
    <w:basedOn w:val="a3"/>
    <w:link w:val="Charff3"/>
    <w:rsid w:val="0086730B"/>
    <w:pPr>
      <w:widowControl w:val="0"/>
      <w:bidi w:val="0"/>
      <w:spacing w:line="276" w:lineRule="auto"/>
      <w:ind w:left="340" w:right="340" w:firstLine="0"/>
      <w:jc w:val="left"/>
    </w:pPr>
    <w:rPr>
      <w:rFonts w:ascii="Times New Roman" w:eastAsia="Times New Roman" w:hAnsi="Times New Roman" w:cs="NoorZar"/>
      <w:sz w:val="30"/>
      <w:szCs w:val="22"/>
      <w:lang w:bidi="fa-IR"/>
    </w:rPr>
  </w:style>
  <w:style w:type="character" w:customStyle="1" w:styleId="Charff3">
    <w:name w:val="بیانات Char"/>
    <w:link w:val="affffff1"/>
    <w:rsid w:val="0086730B"/>
    <w:rPr>
      <w:rFonts w:ascii="Times New Roman" w:eastAsia="Times New Roman" w:hAnsi="Times New Roman" w:cs="NoorZar"/>
      <w:sz w:val="30"/>
      <w:szCs w:val="22"/>
      <w:lang w:bidi="fa-IR"/>
    </w:rPr>
  </w:style>
  <w:style w:type="character" w:customStyle="1" w:styleId="ufnzn11">
    <w:name w:val="uf_nzn11"/>
    <w:rsid w:val="0086730B"/>
  </w:style>
  <w:style w:type="character" w:customStyle="1" w:styleId="ufalaem7">
    <w:name w:val="uf_alaem7"/>
    <w:rsid w:val="0086730B"/>
  </w:style>
  <w:style w:type="character" w:customStyle="1" w:styleId="uflts28">
    <w:name w:val="uf_lts28"/>
    <w:rsid w:val="0086730B"/>
  </w:style>
  <w:style w:type="paragraph" w:customStyle="1" w:styleId="Arabi">
    <w:name w:val="Arabi"/>
    <w:basedOn w:val="a7"/>
    <w:link w:val="ArabiChar"/>
    <w:rsid w:val="0086730B"/>
    <w:pPr>
      <w:tabs>
        <w:tab w:val="clear" w:pos="149"/>
        <w:tab w:val="clear" w:pos="716"/>
      </w:tabs>
      <w:bidi w:val="0"/>
      <w:ind w:left="0" w:firstLine="0"/>
      <w:jc w:val="left"/>
    </w:pPr>
    <w:rPr>
      <w:rFonts w:cs="B Badr"/>
      <w:sz w:val="20"/>
      <w:szCs w:val="26"/>
    </w:rPr>
  </w:style>
  <w:style w:type="character" w:customStyle="1" w:styleId="ArabiChar">
    <w:name w:val="Arabi Char"/>
    <w:link w:val="Arabi"/>
    <w:rsid w:val="0086730B"/>
    <w:rPr>
      <w:rFonts w:ascii="Times New Roman" w:eastAsia="Times New Roman" w:hAnsi="Times New Roman" w:cs="B Badr"/>
      <w:szCs w:val="26"/>
    </w:rPr>
  </w:style>
  <w:style w:type="paragraph" w:customStyle="1" w:styleId="affffff2">
    <w:name w:val="تاكيد"/>
    <w:basedOn w:val="a3"/>
    <w:link w:val="Charff4"/>
    <w:rsid w:val="0086730B"/>
    <w:pPr>
      <w:bidi w:val="0"/>
      <w:spacing w:line="240" w:lineRule="auto"/>
      <w:jc w:val="left"/>
    </w:pPr>
    <w:rPr>
      <w:rFonts w:ascii="Times New Roman" w:eastAsia="Times New Roman" w:hAnsi="Times New Roman" w:cs="Zar"/>
      <w:bCs/>
      <w:sz w:val="24"/>
      <w:szCs w:val="22"/>
    </w:rPr>
  </w:style>
  <w:style w:type="character" w:customStyle="1" w:styleId="Charff4">
    <w:name w:val="تاكيد Char"/>
    <w:link w:val="affffff2"/>
    <w:rsid w:val="0086730B"/>
    <w:rPr>
      <w:rFonts w:ascii="Times New Roman" w:eastAsia="Times New Roman" w:hAnsi="Times New Roman" w:cs="Zar"/>
      <w:bCs/>
      <w:sz w:val="24"/>
      <w:szCs w:val="22"/>
    </w:rPr>
  </w:style>
  <w:style w:type="paragraph" w:customStyle="1" w:styleId="affffff3">
    <w:name w:val="كوچك"/>
    <w:basedOn w:val="a3"/>
    <w:link w:val="Charff5"/>
    <w:rsid w:val="0086730B"/>
    <w:pPr>
      <w:bidi w:val="0"/>
      <w:spacing w:line="240" w:lineRule="auto"/>
      <w:jc w:val="left"/>
    </w:pPr>
    <w:rPr>
      <w:rFonts w:ascii="Times New Roman" w:eastAsia="Times New Roman" w:hAnsi="Times New Roman" w:cs="Zar"/>
      <w:sz w:val="24"/>
      <w:szCs w:val="22"/>
    </w:rPr>
  </w:style>
  <w:style w:type="character" w:customStyle="1" w:styleId="Charff5">
    <w:name w:val="كوچك Char"/>
    <w:link w:val="affffff3"/>
    <w:rsid w:val="0086730B"/>
    <w:rPr>
      <w:rFonts w:ascii="Times New Roman" w:eastAsia="Times New Roman" w:hAnsi="Times New Roman" w:cs="Zar"/>
      <w:sz w:val="24"/>
      <w:szCs w:val="22"/>
    </w:rPr>
  </w:style>
  <w:style w:type="character" w:customStyle="1" w:styleId="affffff4">
    <w:name w:val="عليه‌السلام"/>
    <w:rsid w:val="0086730B"/>
    <w:rPr>
      <w:rFonts w:ascii="Almizan" w:hAnsi="Almizan" w:cs="Armin_symbol 1"/>
      <w:position w:val="0"/>
      <w:sz w:val="26"/>
      <w:szCs w:val="26"/>
    </w:rPr>
  </w:style>
  <w:style w:type="paragraph" w:customStyle="1" w:styleId="Salamha">
    <w:name w:val="Salamha"/>
    <w:basedOn w:val="a3"/>
    <w:link w:val="SalamhaChar"/>
    <w:rsid w:val="0086730B"/>
    <w:pPr>
      <w:bidi w:val="0"/>
      <w:spacing w:line="240" w:lineRule="auto"/>
      <w:jc w:val="left"/>
    </w:pPr>
    <w:rPr>
      <w:rFonts w:ascii="Times New Roman" w:eastAsia="Times New Roman" w:hAnsi="Times New Roman" w:cs="Traditional Arabic"/>
      <w:sz w:val="24"/>
      <w:szCs w:val="16"/>
    </w:rPr>
  </w:style>
  <w:style w:type="character" w:customStyle="1" w:styleId="SalamhaChar">
    <w:name w:val="Salamha Char"/>
    <w:link w:val="Salamha"/>
    <w:rsid w:val="0086730B"/>
    <w:rPr>
      <w:rFonts w:ascii="Times New Roman" w:eastAsia="Times New Roman" w:hAnsi="Times New Roman" w:cs="Traditional Arabic"/>
      <w:sz w:val="24"/>
      <w:szCs w:val="16"/>
    </w:rPr>
  </w:style>
  <w:style w:type="paragraph" w:customStyle="1" w:styleId="footer">
    <w:name w:val="footer"/>
    <w:basedOn w:val="a7"/>
    <w:autoRedefine/>
    <w:rsid w:val="0086730B"/>
    <w:pPr>
      <w:tabs>
        <w:tab w:val="clear" w:pos="149"/>
        <w:tab w:val="clear" w:pos="716"/>
      </w:tabs>
      <w:ind w:left="0" w:firstLine="0"/>
      <w:jc w:val="left"/>
    </w:pPr>
    <w:rPr>
      <w:rFonts w:ascii="Nazanin" w:eastAsia="SimSun" w:hAnsi="Nazanin" w:cs="Times New Roman"/>
      <w:sz w:val="26"/>
      <w:szCs w:val="20"/>
      <w:lang w:eastAsia="zh-CN"/>
    </w:rPr>
  </w:style>
  <w:style w:type="character" w:customStyle="1" w:styleId="CharChar20">
    <w:name w:val=" Char Char2"/>
    <w:locked/>
    <w:rsid w:val="0086730B"/>
    <w:rPr>
      <w:rFonts w:ascii="Cambria" w:eastAsia="Times New Roman" w:hAnsi="Cambria" w:cs="Courier New"/>
      <w:b/>
      <w:bCs/>
      <w:i/>
      <w:iCs/>
      <w:sz w:val="28"/>
      <w:szCs w:val="28"/>
      <w:lang w:eastAsia="zh-CN"/>
    </w:rPr>
  </w:style>
  <w:style w:type="character" w:customStyle="1" w:styleId="pagecount">
    <w:name w:val="pagecount"/>
    <w:rsid w:val="0086730B"/>
  </w:style>
  <w:style w:type="paragraph" w:customStyle="1" w:styleId="1c">
    <w:name w:val="تیتر 1"/>
    <w:basedOn w:val="a3"/>
    <w:link w:val="1Char3"/>
    <w:rsid w:val="0086730B"/>
    <w:pPr>
      <w:spacing w:line="276" w:lineRule="auto"/>
      <w:ind w:firstLine="0"/>
    </w:pPr>
    <w:rPr>
      <w:rFonts w:ascii="NoorZar" w:hAnsi="NoorZar" w:cs="NoorZar"/>
      <w:b/>
      <w:bCs/>
      <w:sz w:val="30"/>
      <w:szCs w:val="30"/>
      <w:lang w:bidi="fa-IR"/>
    </w:rPr>
  </w:style>
  <w:style w:type="character" w:customStyle="1" w:styleId="1Char3">
    <w:name w:val="تیتر 1 Char"/>
    <w:link w:val="1c"/>
    <w:rsid w:val="0086730B"/>
    <w:rPr>
      <w:rFonts w:ascii="NoorZar" w:hAnsi="NoorZar" w:cs="NoorZar"/>
      <w:b/>
      <w:bCs/>
      <w:sz w:val="30"/>
      <w:szCs w:val="30"/>
      <w:lang w:bidi="fa-IR"/>
    </w:rPr>
  </w:style>
  <w:style w:type="numbering" w:customStyle="1" w:styleId="NoList22">
    <w:name w:val="No List22"/>
    <w:next w:val="a6"/>
    <w:uiPriority w:val="99"/>
    <w:semiHidden/>
    <w:unhideWhenUsed/>
    <w:rsid w:val="0086730B"/>
  </w:style>
  <w:style w:type="numbering" w:customStyle="1" w:styleId="NoList32">
    <w:name w:val="No List32"/>
    <w:next w:val="a6"/>
    <w:uiPriority w:val="99"/>
    <w:semiHidden/>
    <w:rsid w:val="0086730B"/>
  </w:style>
  <w:style w:type="paragraph" w:styleId="affffff5">
    <w:name w:val="Body Text"/>
    <w:basedOn w:val="a3"/>
    <w:link w:val="Charff6"/>
    <w:uiPriority w:val="99"/>
    <w:rsid w:val="0086730B"/>
    <w:pPr>
      <w:spacing w:line="240" w:lineRule="auto"/>
      <w:ind w:firstLine="0"/>
    </w:pPr>
    <w:rPr>
      <w:rFonts w:ascii="Times New Roman" w:eastAsia="Times New Roman" w:hAnsi="Times New Roman" w:cs="Times New Roman"/>
      <w:b/>
      <w:bCs/>
      <w:sz w:val="24"/>
      <w:lang w:val="x-none" w:eastAsia="x-none" w:bidi="fa-IR"/>
    </w:rPr>
  </w:style>
  <w:style w:type="character" w:customStyle="1" w:styleId="Charff6">
    <w:name w:val="نص أساسي Char"/>
    <w:link w:val="affffff5"/>
    <w:uiPriority w:val="99"/>
    <w:rsid w:val="0086730B"/>
    <w:rPr>
      <w:rFonts w:ascii="Times New Roman" w:eastAsia="Times New Roman" w:hAnsi="Times New Roman" w:cs="Times New Roman"/>
      <w:b/>
      <w:bCs/>
      <w:sz w:val="24"/>
      <w:szCs w:val="28"/>
      <w:lang w:val="x-none" w:eastAsia="x-none" w:bidi="fa-IR"/>
    </w:rPr>
  </w:style>
  <w:style w:type="character" w:customStyle="1" w:styleId="hilight">
    <w:name w:val="hilight"/>
    <w:rsid w:val="0086730B"/>
  </w:style>
  <w:style w:type="character" w:customStyle="1" w:styleId="currentbookname">
    <w:name w:val="current_book_name"/>
    <w:rsid w:val="0086730B"/>
  </w:style>
  <w:style w:type="character" w:customStyle="1" w:styleId="currentbookpage">
    <w:name w:val="current_book_page"/>
    <w:rsid w:val="0086730B"/>
  </w:style>
  <w:style w:type="character" w:customStyle="1" w:styleId="field-content">
    <w:name w:val="field-content"/>
    <w:rsid w:val="0086730B"/>
  </w:style>
  <w:style w:type="character" w:customStyle="1" w:styleId="tag">
    <w:name w:val="__tag"/>
    <w:rsid w:val="0086730B"/>
  </w:style>
  <w:style w:type="character" w:customStyle="1" w:styleId="caret">
    <w:name w:val="caret"/>
    <w:rsid w:val="0086730B"/>
  </w:style>
  <w:style w:type="character" w:customStyle="1" w:styleId="splitter">
    <w:name w:val="splitter"/>
    <w:rsid w:val="0086730B"/>
  </w:style>
  <w:style w:type="paragraph" w:customStyle="1" w:styleId="item-abstract">
    <w:name w:val="item-abstract"/>
    <w:basedOn w:val="a3"/>
    <w:uiPriority w:val="99"/>
    <w:rsid w:val="0086730B"/>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fa-IR"/>
    </w:rPr>
  </w:style>
  <w:style w:type="paragraph" w:customStyle="1" w:styleId="b">
    <w:name w:val="b"/>
    <w:basedOn w:val="a3"/>
    <w:uiPriority w:val="99"/>
    <w:rsid w:val="0086730B"/>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gb">
    <w:name w:val="gb"/>
    <w:basedOn w:val="a3"/>
    <w:uiPriority w:val="99"/>
    <w:rsid w:val="0086730B"/>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fa-IR"/>
    </w:rPr>
  </w:style>
  <w:style w:type="paragraph" w:customStyle="1" w:styleId="g">
    <w:name w:val="g"/>
    <w:basedOn w:val="a3"/>
    <w:uiPriority w:val="99"/>
    <w:rsid w:val="0086730B"/>
    <w:pPr>
      <w:bidi w:val="0"/>
      <w:spacing w:before="100" w:beforeAutospacing="1" w:after="100" w:afterAutospacing="1" w:line="240" w:lineRule="auto"/>
      <w:ind w:firstLine="0"/>
      <w:jc w:val="left"/>
    </w:pPr>
    <w:rPr>
      <w:rFonts w:ascii="Times New Roman" w:eastAsia="Times New Roman" w:hAnsi="Times New Roman" w:cs="Times New Roman"/>
      <w:sz w:val="24"/>
      <w:szCs w:val="24"/>
      <w:lang w:bidi="fa-IR"/>
    </w:rPr>
  </w:style>
  <w:style w:type="character" w:customStyle="1" w:styleId="color1">
    <w:name w:val="color1"/>
    <w:rsid w:val="0086730B"/>
  </w:style>
  <w:style w:type="character" w:customStyle="1" w:styleId="color-pawaraghi">
    <w:name w:val="color-pawaraghi"/>
    <w:rsid w:val="0086730B"/>
  </w:style>
  <w:style w:type="character" w:customStyle="1" w:styleId="color2">
    <w:name w:val="color2"/>
    <w:rsid w:val="0086730B"/>
  </w:style>
  <w:style w:type="character" w:customStyle="1" w:styleId="z-TopofFormChar1">
    <w:name w:val="z-Top of Form Char1"/>
    <w:uiPriority w:val="99"/>
    <w:semiHidden/>
    <w:rsid w:val="0086730B"/>
    <w:rPr>
      <w:rFonts w:ascii="Arial" w:hAnsi="Arial" w:cs="Arial" w:hint="default"/>
      <w:vanish/>
      <w:webHidden w:val="0"/>
      <w:sz w:val="16"/>
      <w:szCs w:val="16"/>
      <w:lang w:bidi="ar-SA"/>
      <w:specVanish w:val="0"/>
    </w:rPr>
  </w:style>
  <w:style w:type="character" w:customStyle="1" w:styleId="z-BottomofFormChar1">
    <w:name w:val="z-Bottom of Form Char1"/>
    <w:uiPriority w:val="99"/>
    <w:semiHidden/>
    <w:rsid w:val="0086730B"/>
    <w:rPr>
      <w:rFonts w:ascii="Arial" w:hAnsi="Arial" w:cs="Arial" w:hint="default"/>
      <w:vanish/>
      <w:webHidden w:val="0"/>
      <w:sz w:val="16"/>
      <w:szCs w:val="16"/>
      <w:lang w:bidi="ar-SA"/>
      <w:specVanish w:val="0"/>
    </w:rPr>
  </w:style>
  <w:style w:type="character" w:customStyle="1" w:styleId="navbar1">
    <w:name w:val="navbar1"/>
    <w:rsid w:val="00644B4D"/>
    <w:rPr>
      <w:rFonts w:ascii="Tahoma" w:hAnsi="Tahoma" w:cs="Tahoma" w:hint="default"/>
      <w:b/>
      <w:bCs/>
      <w:sz w:val="11"/>
      <w:szCs w:val="11"/>
    </w:rPr>
  </w:style>
  <w:style w:type="character" w:customStyle="1" w:styleId="highlightedsearchterm">
    <w:name w:val="highlightedsearchterm"/>
    <w:rsid w:val="00644B4D"/>
  </w:style>
  <w:style w:type="paragraph" w:customStyle="1" w:styleId="1e">
    <w:name w:val="بلا تباعد1"/>
    <w:qFormat/>
    <w:rsid w:val="00644B4D"/>
    <w:pPr>
      <w:bidi/>
    </w:pPr>
    <w:rPr>
      <w:sz w:val="22"/>
      <w:szCs w:val="22"/>
    </w:rPr>
  </w:style>
  <w:style w:type="numbering" w:customStyle="1" w:styleId="1f">
    <w:name w:val="بلا قائمة1"/>
    <w:next w:val="a6"/>
    <w:uiPriority w:val="99"/>
    <w:semiHidden/>
    <w:unhideWhenUsed/>
    <w:rsid w:val="00644B4D"/>
  </w:style>
  <w:style w:type="numbering" w:customStyle="1" w:styleId="2c">
    <w:name w:val="بلا قائمة2"/>
    <w:next w:val="a6"/>
    <w:uiPriority w:val="99"/>
    <w:semiHidden/>
    <w:unhideWhenUsed/>
    <w:rsid w:val="00644B4D"/>
  </w:style>
  <w:style w:type="paragraph" w:customStyle="1" w:styleId="1f0">
    <w:name w:val="فرعي 1"/>
    <w:basedOn w:val="11"/>
    <w:link w:val="1Char4"/>
    <w:rsid w:val="00644B4D"/>
    <w:pPr>
      <w:tabs>
        <w:tab w:val="clear" w:pos="8777"/>
      </w:tabs>
      <w:spacing w:before="80" w:after="80" w:line="240" w:lineRule="auto"/>
      <w:ind w:firstLine="0"/>
      <w:jc w:val="left"/>
    </w:pPr>
    <w:rPr>
      <w:rFonts w:eastAsia="Times New Roman" w:cs="Times New Roman"/>
      <w:b w:val="0"/>
      <w:iCs/>
      <w:caps w:val="0"/>
      <w:noProof w:val="0"/>
      <w:sz w:val="36"/>
      <w:szCs w:val="28"/>
      <w:lang w:bidi="ar-SA"/>
    </w:rPr>
  </w:style>
  <w:style w:type="character" w:customStyle="1" w:styleId="1Char0">
    <w:name w:val="جدول محتويات 1 Char"/>
    <w:link w:val="11"/>
    <w:uiPriority w:val="39"/>
    <w:rsid w:val="00D33724"/>
    <w:rPr>
      <w:rFonts w:ascii="Lotus Linotype" w:hAnsi="Lotus Linotype" w:cs="Lotus Linotype"/>
      <w:b/>
      <w:bCs/>
      <w:caps/>
      <w:noProof/>
      <w:sz w:val="24"/>
      <w:szCs w:val="32"/>
      <w:lang w:bidi="ar-IQ"/>
    </w:rPr>
  </w:style>
  <w:style w:type="character" w:customStyle="1" w:styleId="1Char4">
    <w:name w:val="فرعي 1 Char"/>
    <w:link w:val="1f0"/>
    <w:rsid w:val="00644B4D"/>
    <w:rPr>
      <w:rFonts w:ascii="Lotus Linotype" w:eastAsia="Times New Roman" w:hAnsi="Lotus Linotype" w:cs="Times New Roman"/>
      <w:bCs/>
      <w:iCs/>
      <w:sz w:val="36"/>
      <w:szCs w:val="28"/>
    </w:rPr>
  </w:style>
  <w:style w:type="paragraph" w:customStyle="1" w:styleId="parabasetext">
    <w:name w:val="parabasetext"/>
    <w:basedOn w:val="a3"/>
    <w:rsid w:val="00644B4D"/>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srchexplword">
    <w:name w:val="srch_expl_word"/>
    <w:rsid w:val="00644B4D"/>
  </w:style>
  <w:style w:type="paragraph" w:customStyle="1" w:styleId="tit1">
    <w:name w:val="tit1"/>
    <w:basedOn w:val="a3"/>
    <w:rsid w:val="00644B4D"/>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fn">
    <w:name w:val="fn"/>
    <w:rsid w:val="00644B4D"/>
  </w:style>
  <w:style w:type="character" w:customStyle="1" w:styleId="sourcelink">
    <w:name w:val="source_link"/>
    <w:rsid w:val="00644B4D"/>
  </w:style>
  <w:style w:type="character" w:customStyle="1" w:styleId="qrntext">
    <w:name w:val="qrn_text"/>
    <w:rsid w:val="00644B4D"/>
  </w:style>
  <w:style w:type="character" w:customStyle="1" w:styleId="qrnbrackets">
    <w:name w:val="qrn_brackets"/>
    <w:rsid w:val="00644B4D"/>
  </w:style>
  <w:style w:type="character" w:customStyle="1" w:styleId="st">
    <w:name w:val="st"/>
    <w:rsid w:val="00644B4D"/>
  </w:style>
  <w:style w:type="character" w:customStyle="1" w:styleId="info-desc">
    <w:name w:val="info-desc"/>
    <w:rsid w:val="00644B4D"/>
  </w:style>
  <w:style w:type="character" w:customStyle="1" w:styleId="kv1">
    <w:name w:val="kv1"/>
    <w:rsid w:val="00644B4D"/>
  </w:style>
  <w:style w:type="character" w:customStyle="1" w:styleId="02Char">
    <w:name w:val="02 Char"/>
    <w:link w:val="02"/>
    <w:locked/>
    <w:rsid w:val="00644B4D"/>
    <w:rPr>
      <w:rFonts w:ascii="Lotus Linotype" w:hAnsi="Lotus Linotype" w:cs="Lotus Linotype"/>
      <w:b/>
      <w:bCs/>
      <w:color w:val="000000"/>
      <w:sz w:val="36"/>
      <w:szCs w:val="36"/>
      <w:lang w:eastAsia="ar-SA"/>
    </w:rPr>
  </w:style>
  <w:style w:type="paragraph" w:customStyle="1" w:styleId="02">
    <w:name w:val="02"/>
    <w:basedOn w:val="a3"/>
    <w:link w:val="02Char"/>
    <w:qFormat/>
    <w:rsid w:val="00644B4D"/>
    <w:pPr>
      <w:widowControl w:val="0"/>
      <w:spacing w:line="240" w:lineRule="auto"/>
      <w:ind w:firstLine="454"/>
      <w:jc w:val="both"/>
    </w:pPr>
    <w:rPr>
      <w:rFonts w:ascii="Lotus Linotype" w:hAnsi="Lotus Linotype" w:cs="Lotus Linotype"/>
      <w:b/>
      <w:bCs/>
      <w:color w:val="000000"/>
      <w:sz w:val="36"/>
      <w:szCs w:val="36"/>
      <w:lang w:eastAsia="ar-SA"/>
    </w:rPr>
  </w:style>
  <w:style w:type="character" w:customStyle="1" w:styleId="00Char">
    <w:name w:val="00 Char"/>
    <w:link w:val="00"/>
    <w:locked/>
    <w:rsid w:val="00644B4D"/>
    <w:rPr>
      <w:rFonts w:ascii="Lotus Linotype" w:eastAsia="Times New Roman" w:hAnsi="Lotus Linotype" w:cs="Sultan Medium"/>
      <w:noProof/>
      <w:color w:val="000000"/>
      <w:sz w:val="50"/>
      <w:szCs w:val="50"/>
    </w:rPr>
  </w:style>
  <w:style w:type="paragraph" w:customStyle="1" w:styleId="00">
    <w:name w:val="00"/>
    <w:basedOn w:val="afb"/>
    <w:link w:val="00Char"/>
    <w:qFormat/>
    <w:rsid w:val="00644B4D"/>
    <w:pPr>
      <w:bidi/>
      <w:spacing w:before="240" w:line="256" w:lineRule="auto"/>
    </w:pPr>
    <w:rPr>
      <w:rFonts w:ascii="Lotus Linotype" w:hAnsi="Lotus Linotype" w:cs="Sultan Medium"/>
      <w:b w:val="0"/>
      <w:bCs w:val="0"/>
      <w:noProof/>
      <w:color w:val="000000"/>
      <w:sz w:val="50"/>
      <w:szCs w:val="50"/>
      <w:lang w:eastAsia="en-US"/>
    </w:rPr>
  </w:style>
  <w:style w:type="character" w:customStyle="1" w:styleId="01Char">
    <w:name w:val="01 Char"/>
    <w:link w:val="01"/>
    <w:locked/>
    <w:rsid w:val="00644B4D"/>
    <w:rPr>
      <w:rFonts w:ascii="Lotus Linotype" w:hAnsi="Lotus Linotype" w:cs="Lotus Linotype"/>
      <w:b/>
      <w:bCs/>
      <w:caps/>
      <w:sz w:val="40"/>
      <w:szCs w:val="40"/>
      <w:lang w:eastAsia="ar-SA"/>
    </w:rPr>
  </w:style>
  <w:style w:type="paragraph" w:customStyle="1" w:styleId="01">
    <w:name w:val="01"/>
    <w:basedOn w:val="a3"/>
    <w:link w:val="01Char"/>
    <w:qFormat/>
    <w:rsid w:val="00644B4D"/>
    <w:pPr>
      <w:spacing w:line="240" w:lineRule="auto"/>
      <w:ind w:firstLine="0"/>
      <w:jc w:val="left"/>
    </w:pPr>
    <w:rPr>
      <w:rFonts w:ascii="Lotus Linotype" w:hAnsi="Lotus Linotype" w:cs="Lotus Linotype"/>
      <w:b/>
      <w:bCs/>
      <w:caps/>
      <w:sz w:val="40"/>
      <w:szCs w:val="40"/>
      <w:lang w:eastAsia="ar-SA"/>
    </w:rPr>
  </w:style>
  <w:style w:type="character" w:customStyle="1" w:styleId="litefont">
    <w:name w:val="litefont"/>
    <w:rsid w:val="00644B4D"/>
  </w:style>
  <w:style w:type="paragraph" w:customStyle="1" w:styleId="affffff6">
    <w:name w:val="مبحث"/>
    <w:basedOn w:val="affffff7"/>
    <w:link w:val="Charff7"/>
    <w:qFormat/>
    <w:rsid w:val="001F72B8"/>
    <w:rPr>
      <w:sz w:val="52"/>
      <w:szCs w:val="52"/>
    </w:rPr>
  </w:style>
  <w:style w:type="paragraph" w:customStyle="1" w:styleId="affffff8">
    <w:name w:val="نقاط"/>
    <w:basedOn w:val="a3"/>
    <w:link w:val="Charff8"/>
    <w:qFormat/>
    <w:rsid w:val="00644B4D"/>
    <w:pPr>
      <w:spacing w:line="240" w:lineRule="auto"/>
      <w:ind w:firstLine="0"/>
      <w:jc w:val="left"/>
    </w:pPr>
    <w:rPr>
      <w:rFonts w:ascii="Lotus Linotype" w:eastAsia="Times New Roman" w:hAnsi="Lotus Linotype" w:cs="Lotus Linotype"/>
      <w:bCs/>
      <w:sz w:val="44"/>
      <w:szCs w:val="36"/>
    </w:rPr>
  </w:style>
  <w:style w:type="character" w:customStyle="1" w:styleId="Charff7">
    <w:name w:val="مبحث Char"/>
    <w:link w:val="affffff6"/>
    <w:rsid w:val="001F72B8"/>
    <w:rPr>
      <w:rFonts w:ascii="Lotus Linotype" w:eastAsia="Times New Roman" w:hAnsi="Lotus Linotype" w:cs="Sultan Medium"/>
      <w:noProof/>
      <w:color w:val="000000"/>
      <w:sz w:val="52"/>
      <w:szCs w:val="52"/>
    </w:rPr>
  </w:style>
  <w:style w:type="character" w:customStyle="1" w:styleId="Charff8">
    <w:name w:val="نقاط Char"/>
    <w:link w:val="affffff8"/>
    <w:rsid w:val="00644B4D"/>
    <w:rPr>
      <w:rFonts w:ascii="Lotus Linotype" w:eastAsia="Times New Roman" w:hAnsi="Lotus Linotype" w:cs="Lotus Linotype"/>
      <w:bCs/>
      <w:sz w:val="44"/>
      <w:szCs w:val="36"/>
    </w:rPr>
  </w:style>
  <w:style w:type="character" w:customStyle="1" w:styleId="char00">
    <w:name w:val="char0"/>
    <w:rsid w:val="00644B4D"/>
  </w:style>
  <w:style w:type="character" w:customStyle="1" w:styleId="color-main-1">
    <w:name w:val="color-main-1"/>
    <w:rsid w:val="00644B4D"/>
  </w:style>
  <w:style w:type="character" w:customStyle="1" w:styleId="color-main-3">
    <w:name w:val="color-main-3"/>
    <w:rsid w:val="00644B4D"/>
  </w:style>
  <w:style w:type="character" w:customStyle="1" w:styleId="toctoggle">
    <w:name w:val="toctoggle"/>
    <w:rsid w:val="00644B4D"/>
  </w:style>
  <w:style w:type="character" w:customStyle="1" w:styleId="mw-cite-backlink">
    <w:name w:val="mw-cite-backlink"/>
    <w:rsid w:val="00644B4D"/>
  </w:style>
  <w:style w:type="character" w:customStyle="1" w:styleId="cite-accessibility-label">
    <w:name w:val="cite-accessibility-label"/>
    <w:rsid w:val="00644B4D"/>
  </w:style>
  <w:style w:type="character" w:customStyle="1" w:styleId="collapsebutton">
    <w:name w:val="collapsebutton"/>
    <w:rsid w:val="00644B4D"/>
  </w:style>
  <w:style w:type="paragraph" w:styleId="affffff9">
    <w:name w:val="List"/>
    <w:basedOn w:val="a3"/>
    <w:uiPriority w:val="99"/>
    <w:unhideWhenUsed/>
    <w:rsid w:val="00644B4D"/>
    <w:pPr>
      <w:spacing w:after="200" w:line="276" w:lineRule="auto"/>
      <w:ind w:left="360" w:hanging="360"/>
      <w:contextualSpacing/>
      <w:jc w:val="left"/>
    </w:pPr>
    <w:rPr>
      <w:rFonts w:cs="Arial"/>
      <w:sz w:val="22"/>
      <w:szCs w:val="22"/>
    </w:rPr>
  </w:style>
  <w:style w:type="paragraph" w:styleId="2d">
    <w:name w:val="List 2"/>
    <w:basedOn w:val="a3"/>
    <w:uiPriority w:val="99"/>
    <w:unhideWhenUsed/>
    <w:rsid w:val="00644B4D"/>
    <w:pPr>
      <w:spacing w:after="200" w:line="276" w:lineRule="auto"/>
      <w:ind w:left="720" w:hanging="360"/>
      <w:contextualSpacing/>
      <w:jc w:val="left"/>
    </w:pPr>
    <w:rPr>
      <w:rFonts w:cs="Arial"/>
      <w:sz w:val="22"/>
      <w:szCs w:val="22"/>
    </w:rPr>
  </w:style>
  <w:style w:type="paragraph" w:styleId="affffffa">
    <w:name w:val="List Continue"/>
    <w:basedOn w:val="a3"/>
    <w:uiPriority w:val="99"/>
    <w:unhideWhenUsed/>
    <w:rsid w:val="00644B4D"/>
    <w:pPr>
      <w:spacing w:after="120" w:line="276" w:lineRule="auto"/>
      <w:ind w:left="360" w:firstLine="0"/>
      <w:contextualSpacing/>
      <w:jc w:val="left"/>
    </w:pPr>
    <w:rPr>
      <w:rFonts w:cs="Arial"/>
      <w:sz w:val="22"/>
      <w:szCs w:val="22"/>
    </w:rPr>
  </w:style>
  <w:style w:type="paragraph" w:styleId="affffffb">
    <w:name w:val="Body Text First Indent"/>
    <w:basedOn w:val="affffff5"/>
    <w:link w:val="Charff9"/>
    <w:uiPriority w:val="99"/>
    <w:unhideWhenUsed/>
    <w:rsid w:val="00644B4D"/>
    <w:pPr>
      <w:spacing w:after="200" w:line="276" w:lineRule="auto"/>
      <w:ind w:firstLine="360"/>
      <w:jc w:val="left"/>
    </w:pPr>
    <w:rPr>
      <w:rFonts w:ascii="Calibri" w:eastAsia="Calibri" w:hAnsi="Calibri" w:cs="Arial"/>
      <w:b w:val="0"/>
      <w:bCs w:val="0"/>
      <w:sz w:val="22"/>
      <w:szCs w:val="22"/>
      <w:lang w:val="en-US" w:eastAsia="en-US" w:bidi="ar-SA"/>
    </w:rPr>
  </w:style>
  <w:style w:type="character" w:customStyle="1" w:styleId="Charff9">
    <w:name w:val="نص أساسي بمسافة بادئة للسطر الأول Char"/>
    <w:link w:val="affffffb"/>
    <w:uiPriority w:val="99"/>
    <w:rsid w:val="00644B4D"/>
    <w:rPr>
      <w:rFonts w:ascii="Times New Roman" w:eastAsia="Times New Roman" w:hAnsi="Times New Roman" w:cs="Times New Roman"/>
      <w:b w:val="0"/>
      <w:bCs w:val="0"/>
      <w:sz w:val="22"/>
      <w:szCs w:val="22"/>
      <w:lang w:val="x-none" w:eastAsia="x-none" w:bidi="fa-IR"/>
    </w:rPr>
  </w:style>
  <w:style w:type="character" w:customStyle="1" w:styleId="BodyTextChar1">
    <w:name w:val="Body Text Char1"/>
    <w:uiPriority w:val="99"/>
    <w:rsid w:val="00644B4D"/>
    <w:rPr>
      <w:sz w:val="28"/>
      <w:szCs w:val="28"/>
      <w:lang w:bidi="ar-SA"/>
    </w:rPr>
  </w:style>
  <w:style w:type="paragraph" w:styleId="2e">
    <w:name w:val="Body Text First Indent 2"/>
    <w:basedOn w:val="affff4"/>
    <w:link w:val="2Char5"/>
    <w:uiPriority w:val="99"/>
    <w:unhideWhenUsed/>
    <w:rsid w:val="00644B4D"/>
    <w:pPr>
      <w:spacing w:after="200" w:line="276" w:lineRule="auto"/>
      <w:ind w:left="360" w:firstLine="360"/>
      <w:jc w:val="left"/>
    </w:pPr>
    <w:rPr>
      <w:rFonts w:ascii="Calibri" w:eastAsia="Calibri" w:hAnsi="Calibri" w:cs="Arial"/>
      <w:sz w:val="22"/>
      <w:szCs w:val="22"/>
      <w:lang w:bidi="ar-SA"/>
    </w:rPr>
  </w:style>
  <w:style w:type="character" w:customStyle="1" w:styleId="2Char5">
    <w:name w:val="نص أساسي بمسافة بادئة للسطر الأول 2 Char"/>
    <w:link w:val="2e"/>
    <w:uiPriority w:val="99"/>
    <w:rsid w:val="00644B4D"/>
    <w:rPr>
      <w:rFonts w:ascii="Times New Roman" w:eastAsia="Times New Roman" w:hAnsi="Times New Roman" w:cs="Times New Roman"/>
      <w:sz w:val="22"/>
      <w:szCs w:val="22"/>
      <w:lang w:bidi="fa-IR"/>
    </w:rPr>
  </w:style>
  <w:style w:type="character" w:customStyle="1" w:styleId="Charffa">
    <w:name w:val="عنوان الفصل Char"/>
    <w:link w:val="affffff7"/>
    <w:locked/>
    <w:rsid w:val="00673070"/>
    <w:rPr>
      <w:rFonts w:ascii="Lotus Linotype" w:eastAsia="Times New Roman" w:hAnsi="Lotus Linotype" w:cs="Sultan Medium"/>
      <w:noProof/>
      <w:color w:val="000000"/>
      <w:sz w:val="50"/>
      <w:szCs w:val="72"/>
      <w:lang w:bidi="ar-JO"/>
    </w:rPr>
  </w:style>
  <w:style w:type="paragraph" w:customStyle="1" w:styleId="affffff7">
    <w:name w:val="عنوان الفصل"/>
    <w:basedOn w:val="afb"/>
    <w:link w:val="Charffa"/>
    <w:qFormat/>
    <w:rsid w:val="00673070"/>
    <w:pPr>
      <w:bidi/>
      <w:spacing w:before="240" w:line="256" w:lineRule="auto"/>
      <w:jc w:val="center"/>
    </w:pPr>
    <w:rPr>
      <w:rFonts w:ascii="Lotus Linotype" w:hAnsi="Lotus Linotype" w:cs="Sultan Medium"/>
      <w:b w:val="0"/>
      <w:bCs w:val="0"/>
      <w:noProof/>
      <w:color w:val="000000"/>
      <w:sz w:val="50"/>
      <w:szCs w:val="72"/>
      <w:lang w:eastAsia="en-US" w:bidi="ar-JO"/>
    </w:rPr>
  </w:style>
  <w:style w:type="character" w:customStyle="1" w:styleId="Charffb">
    <w:name w:val="عنوان الفرعي Char"/>
    <w:link w:val="affffffc"/>
    <w:locked/>
    <w:rsid w:val="00007798"/>
    <w:rPr>
      <w:rFonts w:ascii="Lotus Linotype" w:hAnsi="Lotus Linotype" w:cs="Lotus Linotype"/>
      <w:b/>
      <w:bCs/>
      <w:caps/>
      <w:sz w:val="40"/>
      <w:szCs w:val="48"/>
      <w:lang w:eastAsia="ar-SA"/>
    </w:rPr>
  </w:style>
  <w:style w:type="paragraph" w:customStyle="1" w:styleId="affffffc">
    <w:name w:val="عنوان الفرعي"/>
    <w:basedOn w:val="a3"/>
    <w:link w:val="Charffb"/>
    <w:qFormat/>
    <w:rsid w:val="00007798"/>
    <w:pPr>
      <w:spacing w:line="240" w:lineRule="auto"/>
      <w:ind w:firstLine="0"/>
      <w:jc w:val="left"/>
    </w:pPr>
    <w:rPr>
      <w:rFonts w:ascii="Lotus Linotype" w:hAnsi="Lotus Linotype" w:cs="Lotus Linotype"/>
      <w:b/>
      <w:bCs/>
      <w:caps/>
      <w:sz w:val="40"/>
      <w:szCs w:val="48"/>
      <w:lang w:eastAsia="ar-SA"/>
    </w:rPr>
  </w:style>
  <w:style w:type="paragraph" w:customStyle="1" w:styleId="nass1">
    <w:name w:val="nass1"/>
    <w:basedOn w:val="a3"/>
    <w:rsid w:val="00007798"/>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numbering" w:customStyle="1" w:styleId="NoList14">
    <w:name w:val="No List14"/>
    <w:next w:val="a6"/>
    <w:uiPriority w:val="99"/>
    <w:semiHidden/>
    <w:unhideWhenUsed/>
    <w:rsid w:val="00007798"/>
  </w:style>
  <w:style w:type="numbering" w:customStyle="1" w:styleId="NoList15">
    <w:name w:val="No List15"/>
    <w:next w:val="a6"/>
    <w:uiPriority w:val="99"/>
    <w:semiHidden/>
    <w:unhideWhenUsed/>
    <w:rsid w:val="00007798"/>
  </w:style>
  <w:style w:type="numbering" w:customStyle="1" w:styleId="110">
    <w:name w:val="بلا قائمة11"/>
    <w:next w:val="a6"/>
    <w:uiPriority w:val="99"/>
    <w:semiHidden/>
    <w:unhideWhenUsed/>
    <w:rsid w:val="00007798"/>
  </w:style>
  <w:style w:type="numbering" w:customStyle="1" w:styleId="210">
    <w:name w:val="بلا قائمة21"/>
    <w:next w:val="a6"/>
    <w:uiPriority w:val="99"/>
    <w:semiHidden/>
    <w:unhideWhenUsed/>
    <w:rsid w:val="00007798"/>
  </w:style>
  <w:style w:type="table" w:customStyle="1" w:styleId="TableGrid6">
    <w:name w:val="Table Grid6"/>
    <w:basedOn w:val="a5"/>
    <w:next w:val="afff6"/>
    <w:rsid w:val="00007798"/>
    <w:rPr>
      <w:rFonts w:ascii="Times New Roman" w:eastAsia="Times New Roman" w:hAnsi="Times New Roman" w:cs="Times New Roma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a6"/>
    <w:uiPriority w:val="99"/>
    <w:semiHidden/>
    <w:unhideWhenUsed/>
    <w:rsid w:val="00007798"/>
  </w:style>
  <w:style w:type="numbering" w:customStyle="1" w:styleId="NoList23">
    <w:name w:val="No List23"/>
    <w:next w:val="a6"/>
    <w:uiPriority w:val="99"/>
    <w:semiHidden/>
    <w:unhideWhenUsed/>
    <w:rsid w:val="00007798"/>
  </w:style>
  <w:style w:type="numbering" w:customStyle="1" w:styleId="NoList16">
    <w:name w:val="No List16"/>
    <w:next w:val="a6"/>
    <w:uiPriority w:val="99"/>
    <w:semiHidden/>
    <w:unhideWhenUsed/>
    <w:rsid w:val="00007798"/>
  </w:style>
  <w:style w:type="numbering" w:customStyle="1" w:styleId="NoList17">
    <w:name w:val="No List17"/>
    <w:next w:val="a6"/>
    <w:uiPriority w:val="99"/>
    <w:semiHidden/>
    <w:unhideWhenUsed/>
    <w:rsid w:val="00007798"/>
  </w:style>
  <w:style w:type="numbering" w:customStyle="1" w:styleId="120">
    <w:name w:val="بلا قائمة12"/>
    <w:next w:val="a6"/>
    <w:uiPriority w:val="99"/>
    <w:semiHidden/>
    <w:unhideWhenUsed/>
    <w:rsid w:val="00007798"/>
  </w:style>
  <w:style w:type="numbering" w:customStyle="1" w:styleId="220">
    <w:name w:val="بلا قائمة22"/>
    <w:next w:val="a6"/>
    <w:uiPriority w:val="99"/>
    <w:semiHidden/>
    <w:unhideWhenUsed/>
    <w:rsid w:val="00007798"/>
  </w:style>
  <w:style w:type="table" w:customStyle="1" w:styleId="TableGrid7">
    <w:name w:val="Table Grid7"/>
    <w:basedOn w:val="a5"/>
    <w:next w:val="afff6"/>
    <w:rsid w:val="00007798"/>
    <w:rPr>
      <w:rFonts w:ascii="Times New Roman" w:eastAsia="Times New Roman" w:hAnsi="Times New Roman" w:cs="Times New Roma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a6"/>
    <w:uiPriority w:val="99"/>
    <w:semiHidden/>
    <w:unhideWhenUsed/>
    <w:rsid w:val="00007798"/>
  </w:style>
  <w:style w:type="numbering" w:customStyle="1" w:styleId="NoList24">
    <w:name w:val="No List24"/>
    <w:next w:val="a6"/>
    <w:uiPriority w:val="99"/>
    <w:semiHidden/>
    <w:unhideWhenUsed/>
    <w:rsid w:val="00007798"/>
  </w:style>
  <w:style w:type="numbering" w:customStyle="1" w:styleId="NoList18">
    <w:name w:val="No List18"/>
    <w:next w:val="a6"/>
    <w:uiPriority w:val="99"/>
    <w:semiHidden/>
    <w:unhideWhenUsed/>
    <w:rsid w:val="00007798"/>
  </w:style>
  <w:style w:type="character" w:customStyle="1" w:styleId="date-display-single">
    <w:name w:val="date-display-single"/>
    <w:rsid w:val="00007798"/>
  </w:style>
  <w:style w:type="paragraph" w:customStyle="1" w:styleId="affffffd">
    <w:name w:val="النتيجة"/>
    <w:basedOn w:val="a3"/>
    <w:link w:val="Charffc"/>
    <w:qFormat/>
    <w:rsid w:val="009B7F7B"/>
    <w:pPr>
      <w:spacing w:before="240" w:after="120" w:line="240" w:lineRule="auto"/>
      <w:ind w:firstLine="0"/>
      <w:jc w:val="left"/>
      <w:outlineLvl w:val="1"/>
    </w:pPr>
    <w:rPr>
      <w:rFonts w:ascii="Lotus Linotype" w:eastAsia="Times New Roman" w:hAnsi="Lotus Linotype" w:cs="Sultan Medium"/>
      <w:noProof/>
      <w:lang w:bidi="ar-IQ"/>
    </w:rPr>
  </w:style>
  <w:style w:type="paragraph" w:customStyle="1" w:styleId="affffffe">
    <w:name w:val="نصوص"/>
    <w:basedOn w:val="a3"/>
    <w:link w:val="Charffd"/>
    <w:qFormat/>
    <w:rsid w:val="001E0A01"/>
    <w:pPr>
      <w:spacing w:line="240" w:lineRule="auto"/>
      <w:ind w:firstLine="0"/>
      <w:jc w:val="both"/>
    </w:pPr>
    <w:rPr>
      <w:rFonts w:ascii="Abo-thar" w:eastAsia="Times New Roman" w:hAnsi="Abo-thar" w:cs="Lotus Linotype"/>
      <w:b/>
      <w:bCs/>
      <w:color w:val="C0504D"/>
      <w:lang w:bidi="ar-IQ"/>
    </w:rPr>
  </w:style>
  <w:style w:type="character" w:customStyle="1" w:styleId="Charffc">
    <w:name w:val="النتيجة Char"/>
    <w:link w:val="affffffd"/>
    <w:rsid w:val="009B7F7B"/>
    <w:rPr>
      <w:rFonts w:ascii="Lotus Linotype" w:eastAsia="Times New Roman" w:hAnsi="Lotus Linotype" w:cs="Sultan Medium"/>
      <w:noProof/>
      <w:sz w:val="28"/>
      <w:szCs w:val="28"/>
      <w:lang w:bidi="ar-IQ"/>
    </w:rPr>
  </w:style>
  <w:style w:type="paragraph" w:customStyle="1" w:styleId="afffffff">
    <w:name w:val="بلا"/>
    <w:basedOn w:val="a3"/>
    <w:link w:val="Charffe"/>
    <w:qFormat/>
    <w:rsid w:val="00673070"/>
    <w:pPr>
      <w:spacing w:before="240" w:line="240" w:lineRule="auto"/>
      <w:ind w:firstLine="0"/>
      <w:jc w:val="both"/>
    </w:pPr>
    <w:rPr>
      <w:rFonts w:ascii="Abo-thar" w:eastAsia="Times New Roman" w:hAnsi="Abo-thar" w:cs="Sultan bold"/>
      <w:sz w:val="32"/>
      <w:szCs w:val="32"/>
    </w:rPr>
  </w:style>
  <w:style w:type="character" w:customStyle="1" w:styleId="Charffd">
    <w:name w:val="نصوص Char"/>
    <w:link w:val="affffffe"/>
    <w:rsid w:val="001E0A01"/>
    <w:rPr>
      <w:rFonts w:ascii="Abo-thar" w:eastAsia="Times New Roman" w:hAnsi="Abo-thar" w:cs="Lotus Linotype"/>
      <w:b/>
      <w:bCs/>
      <w:color w:val="C0504D"/>
      <w:sz w:val="28"/>
      <w:szCs w:val="28"/>
      <w:lang w:bidi="ar-IQ"/>
    </w:rPr>
  </w:style>
  <w:style w:type="paragraph" w:customStyle="1" w:styleId="1f1">
    <w:name w:val="بلا1"/>
    <w:basedOn w:val="a3"/>
    <w:link w:val="1Char5"/>
    <w:qFormat/>
    <w:rsid w:val="00DC21BB"/>
    <w:pPr>
      <w:widowControl w:val="0"/>
      <w:spacing w:line="480" w:lineRule="exact"/>
      <w:ind w:firstLine="0"/>
      <w:jc w:val="center"/>
    </w:pPr>
    <w:rPr>
      <w:rFonts w:ascii="Times New Roman" w:eastAsia="Times New Roman" w:hAnsi="Times New Roman" w:cs="Sultan Medium"/>
      <w:sz w:val="32"/>
      <w:szCs w:val="32"/>
      <w:lang w:val="x-none" w:eastAsia="x-none"/>
    </w:rPr>
  </w:style>
  <w:style w:type="character" w:customStyle="1" w:styleId="Charffe">
    <w:name w:val="بلا Char"/>
    <w:link w:val="afffffff"/>
    <w:rsid w:val="00673070"/>
    <w:rPr>
      <w:rFonts w:ascii="Abo-thar" w:eastAsia="Times New Roman" w:hAnsi="Abo-thar" w:cs="Sultan bold"/>
      <w:sz w:val="32"/>
      <w:szCs w:val="32"/>
    </w:rPr>
  </w:style>
  <w:style w:type="character" w:customStyle="1" w:styleId="1Char5">
    <w:name w:val="بلا1 Char"/>
    <w:link w:val="1f1"/>
    <w:rsid w:val="00DC21BB"/>
    <w:rPr>
      <w:rFonts w:ascii="Times New Roman" w:eastAsia="Times New Roman" w:hAnsi="Times New Roman" w:cs="Sultan Medium"/>
      <w:sz w:val="32"/>
      <w:szCs w:val="32"/>
      <w:lang w:val="x-none" w:eastAsia="x-none"/>
    </w:rPr>
  </w:style>
  <w:style w:type="character" w:customStyle="1" w:styleId="Char5">
    <w:name w:val="سرد الفقرات Char"/>
    <w:link w:val="af"/>
    <w:uiPriority w:val="34"/>
    <w:rsid w:val="002144D4"/>
    <w:rPr>
      <w:rFonts w:cs="B Lotus"/>
      <w:sz w:val="28"/>
      <w:szCs w:val="28"/>
    </w:rPr>
  </w:style>
  <w:style w:type="paragraph" w:customStyle="1" w:styleId="afffffff0">
    <w:name w:val="سر صفحة"/>
    <w:basedOn w:val="af8"/>
    <w:link w:val="Charfff"/>
    <w:qFormat/>
    <w:rsid w:val="002A0AF7"/>
    <w:pPr>
      <w:jc w:val="center"/>
    </w:pPr>
    <w:rPr>
      <w:rFonts w:ascii="Traditional Arabic" w:hAnsi="Traditional Arabic" w:cs="Traditional Arabic"/>
      <w:b w:val="0"/>
      <w:bCs/>
      <w:color w:val="FFFFFF"/>
      <w:sz w:val="28"/>
      <w:szCs w:val="36"/>
      <w:lang w:bidi="ar-IQ"/>
    </w:rPr>
  </w:style>
  <w:style w:type="paragraph" w:customStyle="1" w:styleId="48">
    <w:name w:val="متن 4"/>
    <w:basedOn w:val="35"/>
    <w:rsid w:val="00AA00E3"/>
    <w:pPr>
      <w:ind w:firstLine="0"/>
    </w:pPr>
    <w:rPr>
      <w:lang w:eastAsia="ar-SA"/>
    </w:rPr>
  </w:style>
  <w:style w:type="character" w:customStyle="1" w:styleId="Char2">
    <w:name w:val="بدون تورفتگی Char"/>
    <w:link w:val="ab"/>
    <w:rsid w:val="0015004E"/>
    <w:rPr>
      <w:rFonts w:eastAsia="Times New Roman" w:cs="B Lotus"/>
      <w:sz w:val="28"/>
      <w:szCs w:val="28"/>
    </w:rPr>
  </w:style>
  <w:style w:type="character" w:customStyle="1" w:styleId="Char9">
    <w:name w:val="الفرع Char"/>
    <w:link w:val="af8"/>
    <w:rsid w:val="0015004E"/>
    <w:rPr>
      <w:rFonts w:eastAsia="Times New Roman" w:cs="Sultan bold"/>
      <w:b/>
      <w:sz w:val="26"/>
      <w:szCs w:val="28"/>
    </w:rPr>
  </w:style>
  <w:style w:type="character" w:customStyle="1" w:styleId="Charfff">
    <w:name w:val="سر صفحة Char"/>
    <w:link w:val="afffffff0"/>
    <w:rsid w:val="002A0AF7"/>
    <w:rPr>
      <w:rFonts w:ascii="Traditional Arabic" w:eastAsia="Times New Roman" w:hAnsi="Traditional Arabic" w:cs="Traditional Arabic"/>
      <w:b w:val="0"/>
      <w:bCs/>
      <w:color w:val="FFFFFF"/>
      <w:sz w:val="28"/>
      <w:szCs w:val="36"/>
      <w:lang w:bidi="ar-IQ"/>
    </w:rPr>
  </w:style>
  <w:style w:type="paragraph" w:customStyle="1" w:styleId="afffffff1">
    <w:name w:val="نقل قول عربی"/>
    <w:basedOn w:val="a3"/>
    <w:qFormat/>
    <w:rsid w:val="00A613BA"/>
    <w:pPr>
      <w:spacing w:after="40" w:line="240" w:lineRule="auto"/>
      <w:ind w:left="851" w:firstLine="0"/>
      <w:jc w:val="both"/>
    </w:pPr>
    <w:rPr>
      <w:rFonts w:ascii="Saihat" w:hAnsi="Saihat" w:cs="Saihat"/>
      <w:sz w:val="27"/>
      <w:szCs w:val="27"/>
    </w:rPr>
  </w:style>
  <w:style w:type="paragraph" w:customStyle="1" w:styleId="1">
    <w:name w:val="تیت1"/>
    <w:basedOn w:val="aa"/>
    <w:qFormat/>
    <w:rsid w:val="00763506"/>
    <w:pPr>
      <w:widowControl w:val="0"/>
      <w:numPr>
        <w:ilvl w:val="1"/>
        <w:numId w:val="15"/>
      </w:numPr>
    </w:pPr>
    <w:rPr>
      <w:rFonts w:cs="B Yagut"/>
      <w:sz w:val="28"/>
      <w:szCs w:val="28"/>
      <w:lang w:bidi="fa-IR"/>
    </w:rPr>
  </w:style>
  <w:style w:type="paragraph" w:customStyle="1" w:styleId="2">
    <w:name w:val="تیت2"/>
    <w:basedOn w:val="1"/>
    <w:qFormat/>
    <w:rsid w:val="00763506"/>
    <w:pPr>
      <w:numPr>
        <w:ilvl w:val="2"/>
      </w:numPr>
      <w:tabs>
        <w:tab w:val="right" w:pos="849"/>
      </w:tabs>
    </w:pPr>
    <w:rPr>
      <w:sz w:val="26"/>
      <w:szCs w:val="26"/>
    </w:rPr>
  </w:style>
  <w:style w:type="paragraph" w:customStyle="1" w:styleId="39">
    <w:name w:val="تیت3"/>
    <w:basedOn w:val="ab"/>
    <w:qFormat/>
    <w:rsid w:val="00763506"/>
    <w:pPr>
      <w:spacing w:before="80" w:after="80" w:line="264" w:lineRule="auto"/>
    </w:pPr>
    <w:rPr>
      <w:rFonts w:ascii="hashemi" w:hAnsi="hashemi" w:cs="B Yagut"/>
      <w:b/>
      <w:bCs/>
      <w:sz w:val="25"/>
      <w:szCs w:val="25"/>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1617">
      <w:bodyDiv w:val="1"/>
      <w:marLeft w:val="0"/>
      <w:marRight w:val="0"/>
      <w:marTop w:val="0"/>
      <w:marBottom w:val="0"/>
      <w:divBdr>
        <w:top w:val="none" w:sz="0" w:space="0" w:color="auto"/>
        <w:left w:val="none" w:sz="0" w:space="0" w:color="auto"/>
        <w:bottom w:val="none" w:sz="0" w:space="0" w:color="auto"/>
        <w:right w:val="none" w:sz="0" w:space="0" w:color="auto"/>
      </w:divBdr>
    </w:div>
    <w:div w:id="155073391">
      <w:bodyDiv w:val="1"/>
      <w:marLeft w:val="0"/>
      <w:marRight w:val="0"/>
      <w:marTop w:val="0"/>
      <w:marBottom w:val="0"/>
      <w:divBdr>
        <w:top w:val="none" w:sz="0" w:space="0" w:color="auto"/>
        <w:left w:val="none" w:sz="0" w:space="0" w:color="auto"/>
        <w:bottom w:val="none" w:sz="0" w:space="0" w:color="auto"/>
        <w:right w:val="none" w:sz="0" w:space="0" w:color="auto"/>
      </w:divBdr>
    </w:div>
    <w:div w:id="222837756">
      <w:bodyDiv w:val="1"/>
      <w:marLeft w:val="0"/>
      <w:marRight w:val="0"/>
      <w:marTop w:val="0"/>
      <w:marBottom w:val="0"/>
      <w:divBdr>
        <w:top w:val="none" w:sz="0" w:space="0" w:color="auto"/>
        <w:left w:val="none" w:sz="0" w:space="0" w:color="auto"/>
        <w:bottom w:val="none" w:sz="0" w:space="0" w:color="auto"/>
        <w:right w:val="none" w:sz="0" w:space="0" w:color="auto"/>
      </w:divBdr>
    </w:div>
    <w:div w:id="298538529">
      <w:bodyDiv w:val="1"/>
      <w:marLeft w:val="0"/>
      <w:marRight w:val="0"/>
      <w:marTop w:val="0"/>
      <w:marBottom w:val="0"/>
      <w:divBdr>
        <w:top w:val="none" w:sz="0" w:space="0" w:color="auto"/>
        <w:left w:val="none" w:sz="0" w:space="0" w:color="auto"/>
        <w:bottom w:val="none" w:sz="0" w:space="0" w:color="auto"/>
        <w:right w:val="none" w:sz="0" w:space="0" w:color="auto"/>
      </w:divBdr>
    </w:div>
    <w:div w:id="404301949">
      <w:bodyDiv w:val="1"/>
      <w:marLeft w:val="0"/>
      <w:marRight w:val="0"/>
      <w:marTop w:val="0"/>
      <w:marBottom w:val="0"/>
      <w:divBdr>
        <w:top w:val="none" w:sz="0" w:space="0" w:color="auto"/>
        <w:left w:val="none" w:sz="0" w:space="0" w:color="auto"/>
        <w:bottom w:val="none" w:sz="0" w:space="0" w:color="auto"/>
        <w:right w:val="none" w:sz="0" w:space="0" w:color="auto"/>
      </w:divBdr>
    </w:div>
    <w:div w:id="509300355">
      <w:bodyDiv w:val="1"/>
      <w:marLeft w:val="0"/>
      <w:marRight w:val="0"/>
      <w:marTop w:val="0"/>
      <w:marBottom w:val="0"/>
      <w:divBdr>
        <w:top w:val="none" w:sz="0" w:space="0" w:color="auto"/>
        <w:left w:val="none" w:sz="0" w:space="0" w:color="auto"/>
        <w:bottom w:val="none" w:sz="0" w:space="0" w:color="auto"/>
        <w:right w:val="none" w:sz="0" w:space="0" w:color="auto"/>
      </w:divBdr>
    </w:div>
    <w:div w:id="633605821">
      <w:bodyDiv w:val="1"/>
      <w:marLeft w:val="0"/>
      <w:marRight w:val="0"/>
      <w:marTop w:val="0"/>
      <w:marBottom w:val="0"/>
      <w:divBdr>
        <w:top w:val="none" w:sz="0" w:space="0" w:color="auto"/>
        <w:left w:val="none" w:sz="0" w:space="0" w:color="auto"/>
        <w:bottom w:val="none" w:sz="0" w:space="0" w:color="auto"/>
        <w:right w:val="none" w:sz="0" w:space="0" w:color="auto"/>
      </w:divBdr>
    </w:div>
    <w:div w:id="719327506">
      <w:bodyDiv w:val="1"/>
      <w:marLeft w:val="0"/>
      <w:marRight w:val="0"/>
      <w:marTop w:val="0"/>
      <w:marBottom w:val="0"/>
      <w:divBdr>
        <w:top w:val="none" w:sz="0" w:space="0" w:color="auto"/>
        <w:left w:val="none" w:sz="0" w:space="0" w:color="auto"/>
        <w:bottom w:val="none" w:sz="0" w:space="0" w:color="auto"/>
        <w:right w:val="none" w:sz="0" w:space="0" w:color="auto"/>
      </w:divBdr>
    </w:div>
    <w:div w:id="738403871">
      <w:bodyDiv w:val="1"/>
      <w:marLeft w:val="0"/>
      <w:marRight w:val="0"/>
      <w:marTop w:val="0"/>
      <w:marBottom w:val="0"/>
      <w:divBdr>
        <w:top w:val="none" w:sz="0" w:space="0" w:color="auto"/>
        <w:left w:val="none" w:sz="0" w:space="0" w:color="auto"/>
        <w:bottom w:val="none" w:sz="0" w:space="0" w:color="auto"/>
        <w:right w:val="none" w:sz="0" w:space="0" w:color="auto"/>
      </w:divBdr>
    </w:div>
    <w:div w:id="799375200">
      <w:bodyDiv w:val="1"/>
      <w:marLeft w:val="0"/>
      <w:marRight w:val="0"/>
      <w:marTop w:val="0"/>
      <w:marBottom w:val="0"/>
      <w:divBdr>
        <w:top w:val="none" w:sz="0" w:space="0" w:color="auto"/>
        <w:left w:val="none" w:sz="0" w:space="0" w:color="auto"/>
        <w:bottom w:val="none" w:sz="0" w:space="0" w:color="auto"/>
        <w:right w:val="none" w:sz="0" w:space="0" w:color="auto"/>
      </w:divBdr>
    </w:div>
    <w:div w:id="1008754753">
      <w:bodyDiv w:val="1"/>
      <w:marLeft w:val="0"/>
      <w:marRight w:val="0"/>
      <w:marTop w:val="0"/>
      <w:marBottom w:val="0"/>
      <w:divBdr>
        <w:top w:val="none" w:sz="0" w:space="0" w:color="auto"/>
        <w:left w:val="none" w:sz="0" w:space="0" w:color="auto"/>
        <w:bottom w:val="none" w:sz="0" w:space="0" w:color="auto"/>
        <w:right w:val="none" w:sz="0" w:space="0" w:color="auto"/>
      </w:divBdr>
    </w:div>
    <w:div w:id="1049917053">
      <w:bodyDiv w:val="1"/>
      <w:marLeft w:val="0"/>
      <w:marRight w:val="0"/>
      <w:marTop w:val="0"/>
      <w:marBottom w:val="0"/>
      <w:divBdr>
        <w:top w:val="none" w:sz="0" w:space="0" w:color="auto"/>
        <w:left w:val="none" w:sz="0" w:space="0" w:color="auto"/>
        <w:bottom w:val="none" w:sz="0" w:space="0" w:color="auto"/>
        <w:right w:val="none" w:sz="0" w:space="0" w:color="auto"/>
      </w:divBdr>
    </w:div>
    <w:div w:id="1221214843">
      <w:bodyDiv w:val="1"/>
      <w:marLeft w:val="0"/>
      <w:marRight w:val="0"/>
      <w:marTop w:val="0"/>
      <w:marBottom w:val="0"/>
      <w:divBdr>
        <w:top w:val="none" w:sz="0" w:space="0" w:color="auto"/>
        <w:left w:val="none" w:sz="0" w:space="0" w:color="auto"/>
        <w:bottom w:val="none" w:sz="0" w:space="0" w:color="auto"/>
        <w:right w:val="none" w:sz="0" w:space="0" w:color="auto"/>
      </w:divBdr>
    </w:div>
    <w:div w:id="1231428811">
      <w:bodyDiv w:val="1"/>
      <w:marLeft w:val="0"/>
      <w:marRight w:val="0"/>
      <w:marTop w:val="0"/>
      <w:marBottom w:val="0"/>
      <w:divBdr>
        <w:top w:val="none" w:sz="0" w:space="0" w:color="auto"/>
        <w:left w:val="none" w:sz="0" w:space="0" w:color="auto"/>
        <w:bottom w:val="none" w:sz="0" w:space="0" w:color="auto"/>
        <w:right w:val="none" w:sz="0" w:space="0" w:color="auto"/>
      </w:divBdr>
      <w:divsChild>
        <w:div w:id="653686624">
          <w:marLeft w:val="0"/>
          <w:marRight w:val="0"/>
          <w:marTop w:val="0"/>
          <w:marBottom w:val="0"/>
          <w:divBdr>
            <w:top w:val="none" w:sz="0" w:space="0" w:color="auto"/>
            <w:left w:val="none" w:sz="0" w:space="0" w:color="auto"/>
            <w:bottom w:val="none" w:sz="0" w:space="0" w:color="auto"/>
            <w:right w:val="none" w:sz="0" w:space="0" w:color="auto"/>
          </w:divBdr>
        </w:div>
      </w:divsChild>
    </w:div>
    <w:div w:id="1297448347">
      <w:bodyDiv w:val="1"/>
      <w:marLeft w:val="0"/>
      <w:marRight w:val="0"/>
      <w:marTop w:val="0"/>
      <w:marBottom w:val="0"/>
      <w:divBdr>
        <w:top w:val="none" w:sz="0" w:space="0" w:color="auto"/>
        <w:left w:val="none" w:sz="0" w:space="0" w:color="auto"/>
        <w:bottom w:val="none" w:sz="0" w:space="0" w:color="auto"/>
        <w:right w:val="none" w:sz="0" w:space="0" w:color="auto"/>
      </w:divBdr>
    </w:div>
    <w:div w:id="1619486197">
      <w:bodyDiv w:val="1"/>
      <w:marLeft w:val="0"/>
      <w:marRight w:val="0"/>
      <w:marTop w:val="0"/>
      <w:marBottom w:val="0"/>
      <w:divBdr>
        <w:top w:val="none" w:sz="0" w:space="0" w:color="auto"/>
        <w:left w:val="none" w:sz="0" w:space="0" w:color="auto"/>
        <w:bottom w:val="none" w:sz="0" w:space="0" w:color="auto"/>
        <w:right w:val="none" w:sz="0" w:space="0" w:color="auto"/>
      </w:divBdr>
    </w:div>
    <w:div w:id="1656565827">
      <w:bodyDiv w:val="1"/>
      <w:marLeft w:val="0"/>
      <w:marRight w:val="0"/>
      <w:marTop w:val="0"/>
      <w:marBottom w:val="0"/>
      <w:divBdr>
        <w:top w:val="none" w:sz="0" w:space="0" w:color="auto"/>
        <w:left w:val="none" w:sz="0" w:space="0" w:color="auto"/>
        <w:bottom w:val="none" w:sz="0" w:space="0" w:color="auto"/>
        <w:right w:val="none" w:sz="0" w:space="0" w:color="auto"/>
      </w:divBdr>
    </w:div>
    <w:div w:id="2073841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7.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B171D-213F-45C9-A13A-6A74E5E00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30239</Words>
  <Characters>172366</Characters>
  <Application>Microsoft Office Word</Application>
  <DocSecurity>0</DocSecurity>
  <Lines>1436</Lines>
  <Paragraphs>404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202201</CharactersWithSpaces>
  <SharedDoc>false</SharedDoc>
  <HLinks>
    <vt:vector size="444" baseType="variant">
      <vt:variant>
        <vt:i4>2818058</vt:i4>
      </vt:variant>
      <vt:variant>
        <vt:i4>422</vt:i4>
      </vt:variant>
      <vt:variant>
        <vt:i4>0</vt:i4>
      </vt:variant>
      <vt:variant>
        <vt:i4>5</vt:i4>
      </vt:variant>
      <vt:variant>
        <vt:lpwstr/>
      </vt:variant>
      <vt:variant>
        <vt:lpwstr>_Toc8643694</vt:lpwstr>
      </vt:variant>
      <vt:variant>
        <vt:i4>2818058</vt:i4>
      </vt:variant>
      <vt:variant>
        <vt:i4>419</vt:i4>
      </vt:variant>
      <vt:variant>
        <vt:i4>0</vt:i4>
      </vt:variant>
      <vt:variant>
        <vt:i4>5</vt:i4>
      </vt:variant>
      <vt:variant>
        <vt:lpwstr/>
      </vt:variant>
      <vt:variant>
        <vt:lpwstr>_Toc8643693</vt:lpwstr>
      </vt:variant>
      <vt:variant>
        <vt:i4>2818058</vt:i4>
      </vt:variant>
      <vt:variant>
        <vt:i4>413</vt:i4>
      </vt:variant>
      <vt:variant>
        <vt:i4>0</vt:i4>
      </vt:variant>
      <vt:variant>
        <vt:i4>5</vt:i4>
      </vt:variant>
      <vt:variant>
        <vt:lpwstr/>
      </vt:variant>
      <vt:variant>
        <vt:lpwstr>_Toc8643692</vt:lpwstr>
      </vt:variant>
      <vt:variant>
        <vt:i4>2818058</vt:i4>
      </vt:variant>
      <vt:variant>
        <vt:i4>407</vt:i4>
      </vt:variant>
      <vt:variant>
        <vt:i4>0</vt:i4>
      </vt:variant>
      <vt:variant>
        <vt:i4>5</vt:i4>
      </vt:variant>
      <vt:variant>
        <vt:lpwstr/>
      </vt:variant>
      <vt:variant>
        <vt:lpwstr>_Toc8643691</vt:lpwstr>
      </vt:variant>
      <vt:variant>
        <vt:i4>2818058</vt:i4>
      </vt:variant>
      <vt:variant>
        <vt:i4>401</vt:i4>
      </vt:variant>
      <vt:variant>
        <vt:i4>0</vt:i4>
      </vt:variant>
      <vt:variant>
        <vt:i4>5</vt:i4>
      </vt:variant>
      <vt:variant>
        <vt:lpwstr/>
      </vt:variant>
      <vt:variant>
        <vt:lpwstr>_Toc8643690</vt:lpwstr>
      </vt:variant>
      <vt:variant>
        <vt:i4>2752522</vt:i4>
      </vt:variant>
      <vt:variant>
        <vt:i4>395</vt:i4>
      </vt:variant>
      <vt:variant>
        <vt:i4>0</vt:i4>
      </vt:variant>
      <vt:variant>
        <vt:i4>5</vt:i4>
      </vt:variant>
      <vt:variant>
        <vt:lpwstr/>
      </vt:variant>
      <vt:variant>
        <vt:lpwstr>_Toc8643689</vt:lpwstr>
      </vt:variant>
      <vt:variant>
        <vt:i4>2752522</vt:i4>
      </vt:variant>
      <vt:variant>
        <vt:i4>389</vt:i4>
      </vt:variant>
      <vt:variant>
        <vt:i4>0</vt:i4>
      </vt:variant>
      <vt:variant>
        <vt:i4>5</vt:i4>
      </vt:variant>
      <vt:variant>
        <vt:lpwstr/>
      </vt:variant>
      <vt:variant>
        <vt:lpwstr>_Toc8643688</vt:lpwstr>
      </vt:variant>
      <vt:variant>
        <vt:i4>2752522</vt:i4>
      </vt:variant>
      <vt:variant>
        <vt:i4>383</vt:i4>
      </vt:variant>
      <vt:variant>
        <vt:i4>0</vt:i4>
      </vt:variant>
      <vt:variant>
        <vt:i4>5</vt:i4>
      </vt:variant>
      <vt:variant>
        <vt:lpwstr/>
      </vt:variant>
      <vt:variant>
        <vt:lpwstr>_Toc8643687</vt:lpwstr>
      </vt:variant>
      <vt:variant>
        <vt:i4>2752522</vt:i4>
      </vt:variant>
      <vt:variant>
        <vt:i4>377</vt:i4>
      </vt:variant>
      <vt:variant>
        <vt:i4>0</vt:i4>
      </vt:variant>
      <vt:variant>
        <vt:i4>5</vt:i4>
      </vt:variant>
      <vt:variant>
        <vt:lpwstr/>
      </vt:variant>
      <vt:variant>
        <vt:lpwstr>_Toc8643686</vt:lpwstr>
      </vt:variant>
      <vt:variant>
        <vt:i4>2752522</vt:i4>
      </vt:variant>
      <vt:variant>
        <vt:i4>371</vt:i4>
      </vt:variant>
      <vt:variant>
        <vt:i4>0</vt:i4>
      </vt:variant>
      <vt:variant>
        <vt:i4>5</vt:i4>
      </vt:variant>
      <vt:variant>
        <vt:lpwstr/>
      </vt:variant>
      <vt:variant>
        <vt:lpwstr>_Toc8643685</vt:lpwstr>
      </vt:variant>
      <vt:variant>
        <vt:i4>2752522</vt:i4>
      </vt:variant>
      <vt:variant>
        <vt:i4>365</vt:i4>
      </vt:variant>
      <vt:variant>
        <vt:i4>0</vt:i4>
      </vt:variant>
      <vt:variant>
        <vt:i4>5</vt:i4>
      </vt:variant>
      <vt:variant>
        <vt:lpwstr/>
      </vt:variant>
      <vt:variant>
        <vt:lpwstr>_Toc8643684</vt:lpwstr>
      </vt:variant>
      <vt:variant>
        <vt:i4>2752522</vt:i4>
      </vt:variant>
      <vt:variant>
        <vt:i4>359</vt:i4>
      </vt:variant>
      <vt:variant>
        <vt:i4>0</vt:i4>
      </vt:variant>
      <vt:variant>
        <vt:i4>5</vt:i4>
      </vt:variant>
      <vt:variant>
        <vt:lpwstr/>
      </vt:variant>
      <vt:variant>
        <vt:lpwstr>_Toc8643683</vt:lpwstr>
      </vt:variant>
      <vt:variant>
        <vt:i4>2752522</vt:i4>
      </vt:variant>
      <vt:variant>
        <vt:i4>353</vt:i4>
      </vt:variant>
      <vt:variant>
        <vt:i4>0</vt:i4>
      </vt:variant>
      <vt:variant>
        <vt:i4>5</vt:i4>
      </vt:variant>
      <vt:variant>
        <vt:lpwstr/>
      </vt:variant>
      <vt:variant>
        <vt:lpwstr>_Toc8643682</vt:lpwstr>
      </vt:variant>
      <vt:variant>
        <vt:i4>2752522</vt:i4>
      </vt:variant>
      <vt:variant>
        <vt:i4>347</vt:i4>
      </vt:variant>
      <vt:variant>
        <vt:i4>0</vt:i4>
      </vt:variant>
      <vt:variant>
        <vt:i4>5</vt:i4>
      </vt:variant>
      <vt:variant>
        <vt:lpwstr/>
      </vt:variant>
      <vt:variant>
        <vt:lpwstr>_Toc8643681</vt:lpwstr>
      </vt:variant>
      <vt:variant>
        <vt:i4>2752522</vt:i4>
      </vt:variant>
      <vt:variant>
        <vt:i4>341</vt:i4>
      </vt:variant>
      <vt:variant>
        <vt:i4>0</vt:i4>
      </vt:variant>
      <vt:variant>
        <vt:i4>5</vt:i4>
      </vt:variant>
      <vt:variant>
        <vt:lpwstr/>
      </vt:variant>
      <vt:variant>
        <vt:lpwstr>_Toc8643680</vt:lpwstr>
      </vt:variant>
      <vt:variant>
        <vt:i4>2424842</vt:i4>
      </vt:variant>
      <vt:variant>
        <vt:i4>335</vt:i4>
      </vt:variant>
      <vt:variant>
        <vt:i4>0</vt:i4>
      </vt:variant>
      <vt:variant>
        <vt:i4>5</vt:i4>
      </vt:variant>
      <vt:variant>
        <vt:lpwstr/>
      </vt:variant>
      <vt:variant>
        <vt:lpwstr>_Toc8643679</vt:lpwstr>
      </vt:variant>
      <vt:variant>
        <vt:i4>2424842</vt:i4>
      </vt:variant>
      <vt:variant>
        <vt:i4>329</vt:i4>
      </vt:variant>
      <vt:variant>
        <vt:i4>0</vt:i4>
      </vt:variant>
      <vt:variant>
        <vt:i4>5</vt:i4>
      </vt:variant>
      <vt:variant>
        <vt:lpwstr/>
      </vt:variant>
      <vt:variant>
        <vt:lpwstr>_Toc8643678</vt:lpwstr>
      </vt:variant>
      <vt:variant>
        <vt:i4>2424842</vt:i4>
      </vt:variant>
      <vt:variant>
        <vt:i4>323</vt:i4>
      </vt:variant>
      <vt:variant>
        <vt:i4>0</vt:i4>
      </vt:variant>
      <vt:variant>
        <vt:i4>5</vt:i4>
      </vt:variant>
      <vt:variant>
        <vt:lpwstr/>
      </vt:variant>
      <vt:variant>
        <vt:lpwstr>_Toc8643677</vt:lpwstr>
      </vt:variant>
      <vt:variant>
        <vt:i4>2424842</vt:i4>
      </vt:variant>
      <vt:variant>
        <vt:i4>317</vt:i4>
      </vt:variant>
      <vt:variant>
        <vt:i4>0</vt:i4>
      </vt:variant>
      <vt:variant>
        <vt:i4>5</vt:i4>
      </vt:variant>
      <vt:variant>
        <vt:lpwstr/>
      </vt:variant>
      <vt:variant>
        <vt:lpwstr>_Toc8643676</vt:lpwstr>
      </vt:variant>
      <vt:variant>
        <vt:i4>2424842</vt:i4>
      </vt:variant>
      <vt:variant>
        <vt:i4>311</vt:i4>
      </vt:variant>
      <vt:variant>
        <vt:i4>0</vt:i4>
      </vt:variant>
      <vt:variant>
        <vt:i4>5</vt:i4>
      </vt:variant>
      <vt:variant>
        <vt:lpwstr/>
      </vt:variant>
      <vt:variant>
        <vt:lpwstr>_Toc8643675</vt:lpwstr>
      </vt:variant>
      <vt:variant>
        <vt:i4>2424842</vt:i4>
      </vt:variant>
      <vt:variant>
        <vt:i4>305</vt:i4>
      </vt:variant>
      <vt:variant>
        <vt:i4>0</vt:i4>
      </vt:variant>
      <vt:variant>
        <vt:i4>5</vt:i4>
      </vt:variant>
      <vt:variant>
        <vt:lpwstr/>
      </vt:variant>
      <vt:variant>
        <vt:lpwstr>_Toc8643674</vt:lpwstr>
      </vt:variant>
      <vt:variant>
        <vt:i4>2424842</vt:i4>
      </vt:variant>
      <vt:variant>
        <vt:i4>302</vt:i4>
      </vt:variant>
      <vt:variant>
        <vt:i4>0</vt:i4>
      </vt:variant>
      <vt:variant>
        <vt:i4>5</vt:i4>
      </vt:variant>
      <vt:variant>
        <vt:lpwstr/>
      </vt:variant>
      <vt:variant>
        <vt:lpwstr>_Toc8643673</vt:lpwstr>
      </vt:variant>
      <vt:variant>
        <vt:i4>2424842</vt:i4>
      </vt:variant>
      <vt:variant>
        <vt:i4>296</vt:i4>
      </vt:variant>
      <vt:variant>
        <vt:i4>0</vt:i4>
      </vt:variant>
      <vt:variant>
        <vt:i4>5</vt:i4>
      </vt:variant>
      <vt:variant>
        <vt:lpwstr/>
      </vt:variant>
      <vt:variant>
        <vt:lpwstr>_Toc8643672</vt:lpwstr>
      </vt:variant>
      <vt:variant>
        <vt:i4>2424842</vt:i4>
      </vt:variant>
      <vt:variant>
        <vt:i4>290</vt:i4>
      </vt:variant>
      <vt:variant>
        <vt:i4>0</vt:i4>
      </vt:variant>
      <vt:variant>
        <vt:i4>5</vt:i4>
      </vt:variant>
      <vt:variant>
        <vt:lpwstr/>
      </vt:variant>
      <vt:variant>
        <vt:lpwstr>_Toc8643671</vt:lpwstr>
      </vt:variant>
      <vt:variant>
        <vt:i4>2424842</vt:i4>
      </vt:variant>
      <vt:variant>
        <vt:i4>284</vt:i4>
      </vt:variant>
      <vt:variant>
        <vt:i4>0</vt:i4>
      </vt:variant>
      <vt:variant>
        <vt:i4>5</vt:i4>
      </vt:variant>
      <vt:variant>
        <vt:lpwstr/>
      </vt:variant>
      <vt:variant>
        <vt:lpwstr>_Toc8643670</vt:lpwstr>
      </vt:variant>
      <vt:variant>
        <vt:i4>2359306</vt:i4>
      </vt:variant>
      <vt:variant>
        <vt:i4>278</vt:i4>
      </vt:variant>
      <vt:variant>
        <vt:i4>0</vt:i4>
      </vt:variant>
      <vt:variant>
        <vt:i4>5</vt:i4>
      </vt:variant>
      <vt:variant>
        <vt:lpwstr/>
      </vt:variant>
      <vt:variant>
        <vt:lpwstr>_Toc8643669</vt:lpwstr>
      </vt:variant>
      <vt:variant>
        <vt:i4>2359306</vt:i4>
      </vt:variant>
      <vt:variant>
        <vt:i4>272</vt:i4>
      </vt:variant>
      <vt:variant>
        <vt:i4>0</vt:i4>
      </vt:variant>
      <vt:variant>
        <vt:i4>5</vt:i4>
      </vt:variant>
      <vt:variant>
        <vt:lpwstr/>
      </vt:variant>
      <vt:variant>
        <vt:lpwstr>_Toc8643668</vt:lpwstr>
      </vt:variant>
      <vt:variant>
        <vt:i4>2359306</vt:i4>
      </vt:variant>
      <vt:variant>
        <vt:i4>266</vt:i4>
      </vt:variant>
      <vt:variant>
        <vt:i4>0</vt:i4>
      </vt:variant>
      <vt:variant>
        <vt:i4>5</vt:i4>
      </vt:variant>
      <vt:variant>
        <vt:lpwstr/>
      </vt:variant>
      <vt:variant>
        <vt:lpwstr>_Toc8643667</vt:lpwstr>
      </vt:variant>
      <vt:variant>
        <vt:i4>2359306</vt:i4>
      </vt:variant>
      <vt:variant>
        <vt:i4>260</vt:i4>
      </vt:variant>
      <vt:variant>
        <vt:i4>0</vt:i4>
      </vt:variant>
      <vt:variant>
        <vt:i4>5</vt:i4>
      </vt:variant>
      <vt:variant>
        <vt:lpwstr/>
      </vt:variant>
      <vt:variant>
        <vt:lpwstr>_Toc8643666</vt:lpwstr>
      </vt:variant>
      <vt:variant>
        <vt:i4>2359306</vt:i4>
      </vt:variant>
      <vt:variant>
        <vt:i4>254</vt:i4>
      </vt:variant>
      <vt:variant>
        <vt:i4>0</vt:i4>
      </vt:variant>
      <vt:variant>
        <vt:i4>5</vt:i4>
      </vt:variant>
      <vt:variant>
        <vt:lpwstr/>
      </vt:variant>
      <vt:variant>
        <vt:lpwstr>_Toc8643665</vt:lpwstr>
      </vt:variant>
      <vt:variant>
        <vt:i4>2359306</vt:i4>
      </vt:variant>
      <vt:variant>
        <vt:i4>248</vt:i4>
      </vt:variant>
      <vt:variant>
        <vt:i4>0</vt:i4>
      </vt:variant>
      <vt:variant>
        <vt:i4>5</vt:i4>
      </vt:variant>
      <vt:variant>
        <vt:lpwstr/>
      </vt:variant>
      <vt:variant>
        <vt:lpwstr>_Toc8643664</vt:lpwstr>
      </vt:variant>
      <vt:variant>
        <vt:i4>2359306</vt:i4>
      </vt:variant>
      <vt:variant>
        <vt:i4>242</vt:i4>
      </vt:variant>
      <vt:variant>
        <vt:i4>0</vt:i4>
      </vt:variant>
      <vt:variant>
        <vt:i4>5</vt:i4>
      </vt:variant>
      <vt:variant>
        <vt:lpwstr/>
      </vt:variant>
      <vt:variant>
        <vt:lpwstr>_Toc8643663</vt:lpwstr>
      </vt:variant>
      <vt:variant>
        <vt:i4>2359306</vt:i4>
      </vt:variant>
      <vt:variant>
        <vt:i4>236</vt:i4>
      </vt:variant>
      <vt:variant>
        <vt:i4>0</vt:i4>
      </vt:variant>
      <vt:variant>
        <vt:i4>5</vt:i4>
      </vt:variant>
      <vt:variant>
        <vt:lpwstr/>
      </vt:variant>
      <vt:variant>
        <vt:lpwstr>_Toc8643662</vt:lpwstr>
      </vt:variant>
      <vt:variant>
        <vt:i4>2359306</vt:i4>
      </vt:variant>
      <vt:variant>
        <vt:i4>230</vt:i4>
      </vt:variant>
      <vt:variant>
        <vt:i4>0</vt:i4>
      </vt:variant>
      <vt:variant>
        <vt:i4>5</vt:i4>
      </vt:variant>
      <vt:variant>
        <vt:lpwstr/>
      </vt:variant>
      <vt:variant>
        <vt:lpwstr>_Toc8643661</vt:lpwstr>
      </vt:variant>
      <vt:variant>
        <vt:i4>2359306</vt:i4>
      </vt:variant>
      <vt:variant>
        <vt:i4>224</vt:i4>
      </vt:variant>
      <vt:variant>
        <vt:i4>0</vt:i4>
      </vt:variant>
      <vt:variant>
        <vt:i4>5</vt:i4>
      </vt:variant>
      <vt:variant>
        <vt:lpwstr/>
      </vt:variant>
      <vt:variant>
        <vt:lpwstr>_Toc8643660</vt:lpwstr>
      </vt:variant>
      <vt:variant>
        <vt:i4>2555914</vt:i4>
      </vt:variant>
      <vt:variant>
        <vt:i4>218</vt:i4>
      </vt:variant>
      <vt:variant>
        <vt:i4>0</vt:i4>
      </vt:variant>
      <vt:variant>
        <vt:i4>5</vt:i4>
      </vt:variant>
      <vt:variant>
        <vt:lpwstr/>
      </vt:variant>
      <vt:variant>
        <vt:lpwstr>_Toc8643659</vt:lpwstr>
      </vt:variant>
      <vt:variant>
        <vt:i4>2555914</vt:i4>
      </vt:variant>
      <vt:variant>
        <vt:i4>212</vt:i4>
      </vt:variant>
      <vt:variant>
        <vt:i4>0</vt:i4>
      </vt:variant>
      <vt:variant>
        <vt:i4>5</vt:i4>
      </vt:variant>
      <vt:variant>
        <vt:lpwstr/>
      </vt:variant>
      <vt:variant>
        <vt:lpwstr>_Toc8643658</vt:lpwstr>
      </vt:variant>
      <vt:variant>
        <vt:i4>2555914</vt:i4>
      </vt:variant>
      <vt:variant>
        <vt:i4>206</vt:i4>
      </vt:variant>
      <vt:variant>
        <vt:i4>0</vt:i4>
      </vt:variant>
      <vt:variant>
        <vt:i4>5</vt:i4>
      </vt:variant>
      <vt:variant>
        <vt:lpwstr/>
      </vt:variant>
      <vt:variant>
        <vt:lpwstr>_Toc8643657</vt:lpwstr>
      </vt:variant>
      <vt:variant>
        <vt:i4>2555914</vt:i4>
      </vt:variant>
      <vt:variant>
        <vt:i4>200</vt:i4>
      </vt:variant>
      <vt:variant>
        <vt:i4>0</vt:i4>
      </vt:variant>
      <vt:variant>
        <vt:i4>5</vt:i4>
      </vt:variant>
      <vt:variant>
        <vt:lpwstr/>
      </vt:variant>
      <vt:variant>
        <vt:lpwstr>_Toc8643656</vt:lpwstr>
      </vt:variant>
      <vt:variant>
        <vt:i4>2555914</vt:i4>
      </vt:variant>
      <vt:variant>
        <vt:i4>197</vt:i4>
      </vt:variant>
      <vt:variant>
        <vt:i4>0</vt:i4>
      </vt:variant>
      <vt:variant>
        <vt:i4>5</vt:i4>
      </vt:variant>
      <vt:variant>
        <vt:lpwstr/>
      </vt:variant>
      <vt:variant>
        <vt:lpwstr>_Toc8643655</vt:lpwstr>
      </vt:variant>
      <vt:variant>
        <vt:i4>2555914</vt:i4>
      </vt:variant>
      <vt:variant>
        <vt:i4>191</vt:i4>
      </vt:variant>
      <vt:variant>
        <vt:i4>0</vt:i4>
      </vt:variant>
      <vt:variant>
        <vt:i4>5</vt:i4>
      </vt:variant>
      <vt:variant>
        <vt:lpwstr/>
      </vt:variant>
      <vt:variant>
        <vt:lpwstr>_Toc8643654</vt:lpwstr>
      </vt:variant>
      <vt:variant>
        <vt:i4>2555914</vt:i4>
      </vt:variant>
      <vt:variant>
        <vt:i4>185</vt:i4>
      </vt:variant>
      <vt:variant>
        <vt:i4>0</vt:i4>
      </vt:variant>
      <vt:variant>
        <vt:i4>5</vt:i4>
      </vt:variant>
      <vt:variant>
        <vt:lpwstr/>
      </vt:variant>
      <vt:variant>
        <vt:lpwstr>_Toc8643653</vt:lpwstr>
      </vt:variant>
      <vt:variant>
        <vt:i4>2555914</vt:i4>
      </vt:variant>
      <vt:variant>
        <vt:i4>179</vt:i4>
      </vt:variant>
      <vt:variant>
        <vt:i4>0</vt:i4>
      </vt:variant>
      <vt:variant>
        <vt:i4>5</vt:i4>
      </vt:variant>
      <vt:variant>
        <vt:lpwstr/>
      </vt:variant>
      <vt:variant>
        <vt:lpwstr>_Toc8643652</vt:lpwstr>
      </vt:variant>
      <vt:variant>
        <vt:i4>2555914</vt:i4>
      </vt:variant>
      <vt:variant>
        <vt:i4>173</vt:i4>
      </vt:variant>
      <vt:variant>
        <vt:i4>0</vt:i4>
      </vt:variant>
      <vt:variant>
        <vt:i4>5</vt:i4>
      </vt:variant>
      <vt:variant>
        <vt:lpwstr/>
      </vt:variant>
      <vt:variant>
        <vt:lpwstr>_Toc8643651</vt:lpwstr>
      </vt:variant>
      <vt:variant>
        <vt:i4>2555914</vt:i4>
      </vt:variant>
      <vt:variant>
        <vt:i4>167</vt:i4>
      </vt:variant>
      <vt:variant>
        <vt:i4>0</vt:i4>
      </vt:variant>
      <vt:variant>
        <vt:i4>5</vt:i4>
      </vt:variant>
      <vt:variant>
        <vt:lpwstr/>
      </vt:variant>
      <vt:variant>
        <vt:lpwstr>_Toc8643650</vt:lpwstr>
      </vt:variant>
      <vt:variant>
        <vt:i4>2490378</vt:i4>
      </vt:variant>
      <vt:variant>
        <vt:i4>161</vt:i4>
      </vt:variant>
      <vt:variant>
        <vt:i4>0</vt:i4>
      </vt:variant>
      <vt:variant>
        <vt:i4>5</vt:i4>
      </vt:variant>
      <vt:variant>
        <vt:lpwstr/>
      </vt:variant>
      <vt:variant>
        <vt:lpwstr>_Toc8643649</vt:lpwstr>
      </vt:variant>
      <vt:variant>
        <vt:i4>2490378</vt:i4>
      </vt:variant>
      <vt:variant>
        <vt:i4>155</vt:i4>
      </vt:variant>
      <vt:variant>
        <vt:i4>0</vt:i4>
      </vt:variant>
      <vt:variant>
        <vt:i4>5</vt:i4>
      </vt:variant>
      <vt:variant>
        <vt:lpwstr/>
      </vt:variant>
      <vt:variant>
        <vt:lpwstr>_Toc8643648</vt:lpwstr>
      </vt:variant>
      <vt:variant>
        <vt:i4>2490378</vt:i4>
      </vt:variant>
      <vt:variant>
        <vt:i4>149</vt:i4>
      </vt:variant>
      <vt:variant>
        <vt:i4>0</vt:i4>
      </vt:variant>
      <vt:variant>
        <vt:i4>5</vt:i4>
      </vt:variant>
      <vt:variant>
        <vt:lpwstr/>
      </vt:variant>
      <vt:variant>
        <vt:lpwstr>_Toc8643647</vt:lpwstr>
      </vt:variant>
      <vt:variant>
        <vt:i4>2490378</vt:i4>
      </vt:variant>
      <vt:variant>
        <vt:i4>146</vt:i4>
      </vt:variant>
      <vt:variant>
        <vt:i4>0</vt:i4>
      </vt:variant>
      <vt:variant>
        <vt:i4>5</vt:i4>
      </vt:variant>
      <vt:variant>
        <vt:lpwstr/>
      </vt:variant>
      <vt:variant>
        <vt:lpwstr>_Toc8643646</vt:lpwstr>
      </vt:variant>
      <vt:variant>
        <vt:i4>2490378</vt:i4>
      </vt:variant>
      <vt:variant>
        <vt:i4>140</vt:i4>
      </vt:variant>
      <vt:variant>
        <vt:i4>0</vt:i4>
      </vt:variant>
      <vt:variant>
        <vt:i4>5</vt:i4>
      </vt:variant>
      <vt:variant>
        <vt:lpwstr/>
      </vt:variant>
      <vt:variant>
        <vt:lpwstr>_Toc8643645</vt:lpwstr>
      </vt:variant>
      <vt:variant>
        <vt:i4>2490378</vt:i4>
      </vt:variant>
      <vt:variant>
        <vt:i4>134</vt:i4>
      </vt:variant>
      <vt:variant>
        <vt:i4>0</vt:i4>
      </vt:variant>
      <vt:variant>
        <vt:i4>5</vt:i4>
      </vt:variant>
      <vt:variant>
        <vt:lpwstr/>
      </vt:variant>
      <vt:variant>
        <vt:lpwstr>_Toc8643644</vt:lpwstr>
      </vt:variant>
      <vt:variant>
        <vt:i4>2490378</vt:i4>
      </vt:variant>
      <vt:variant>
        <vt:i4>128</vt:i4>
      </vt:variant>
      <vt:variant>
        <vt:i4>0</vt:i4>
      </vt:variant>
      <vt:variant>
        <vt:i4>5</vt:i4>
      </vt:variant>
      <vt:variant>
        <vt:lpwstr/>
      </vt:variant>
      <vt:variant>
        <vt:lpwstr>_Toc8643643</vt:lpwstr>
      </vt:variant>
      <vt:variant>
        <vt:i4>2490378</vt:i4>
      </vt:variant>
      <vt:variant>
        <vt:i4>122</vt:i4>
      </vt:variant>
      <vt:variant>
        <vt:i4>0</vt:i4>
      </vt:variant>
      <vt:variant>
        <vt:i4>5</vt:i4>
      </vt:variant>
      <vt:variant>
        <vt:lpwstr/>
      </vt:variant>
      <vt:variant>
        <vt:lpwstr>_Toc8643642</vt:lpwstr>
      </vt:variant>
      <vt:variant>
        <vt:i4>2490378</vt:i4>
      </vt:variant>
      <vt:variant>
        <vt:i4>116</vt:i4>
      </vt:variant>
      <vt:variant>
        <vt:i4>0</vt:i4>
      </vt:variant>
      <vt:variant>
        <vt:i4>5</vt:i4>
      </vt:variant>
      <vt:variant>
        <vt:lpwstr/>
      </vt:variant>
      <vt:variant>
        <vt:lpwstr>_Toc8643641</vt:lpwstr>
      </vt:variant>
      <vt:variant>
        <vt:i4>2490378</vt:i4>
      </vt:variant>
      <vt:variant>
        <vt:i4>110</vt:i4>
      </vt:variant>
      <vt:variant>
        <vt:i4>0</vt:i4>
      </vt:variant>
      <vt:variant>
        <vt:i4>5</vt:i4>
      </vt:variant>
      <vt:variant>
        <vt:lpwstr/>
      </vt:variant>
      <vt:variant>
        <vt:lpwstr>_Toc8643640</vt:lpwstr>
      </vt:variant>
      <vt:variant>
        <vt:i4>2162698</vt:i4>
      </vt:variant>
      <vt:variant>
        <vt:i4>104</vt:i4>
      </vt:variant>
      <vt:variant>
        <vt:i4>0</vt:i4>
      </vt:variant>
      <vt:variant>
        <vt:i4>5</vt:i4>
      </vt:variant>
      <vt:variant>
        <vt:lpwstr/>
      </vt:variant>
      <vt:variant>
        <vt:lpwstr>_Toc8643639</vt:lpwstr>
      </vt:variant>
      <vt:variant>
        <vt:i4>2162698</vt:i4>
      </vt:variant>
      <vt:variant>
        <vt:i4>98</vt:i4>
      </vt:variant>
      <vt:variant>
        <vt:i4>0</vt:i4>
      </vt:variant>
      <vt:variant>
        <vt:i4>5</vt:i4>
      </vt:variant>
      <vt:variant>
        <vt:lpwstr/>
      </vt:variant>
      <vt:variant>
        <vt:lpwstr>_Toc8643638</vt:lpwstr>
      </vt:variant>
      <vt:variant>
        <vt:i4>2162698</vt:i4>
      </vt:variant>
      <vt:variant>
        <vt:i4>92</vt:i4>
      </vt:variant>
      <vt:variant>
        <vt:i4>0</vt:i4>
      </vt:variant>
      <vt:variant>
        <vt:i4>5</vt:i4>
      </vt:variant>
      <vt:variant>
        <vt:lpwstr/>
      </vt:variant>
      <vt:variant>
        <vt:lpwstr>_Toc8643637</vt:lpwstr>
      </vt:variant>
      <vt:variant>
        <vt:i4>2162698</vt:i4>
      </vt:variant>
      <vt:variant>
        <vt:i4>86</vt:i4>
      </vt:variant>
      <vt:variant>
        <vt:i4>0</vt:i4>
      </vt:variant>
      <vt:variant>
        <vt:i4>5</vt:i4>
      </vt:variant>
      <vt:variant>
        <vt:lpwstr/>
      </vt:variant>
      <vt:variant>
        <vt:lpwstr>_Toc8643636</vt:lpwstr>
      </vt:variant>
      <vt:variant>
        <vt:i4>2162698</vt:i4>
      </vt:variant>
      <vt:variant>
        <vt:i4>80</vt:i4>
      </vt:variant>
      <vt:variant>
        <vt:i4>0</vt:i4>
      </vt:variant>
      <vt:variant>
        <vt:i4>5</vt:i4>
      </vt:variant>
      <vt:variant>
        <vt:lpwstr/>
      </vt:variant>
      <vt:variant>
        <vt:lpwstr>_Toc8643635</vt:lpwstr>
      </vt:variant>
      <vt:variant>
        <vt:i4>2162698</vt:i4>
      </vt:variant>
      <vt:variant>
        <vt:i4>74</vt:i4>
      </vt:variant>
      <vt:variant>
        <vt:i4>0</vt:i4>
      </vt:variant>
      <vt:variant>
        <vt:i4>5</vt:i4>
      </vt:variant>
      <vt:variant>
        <vt:lpwstr/>
      </vt:variant>
      <vt:variant>
        <vt:lpwstr>_Toc8643634</vt:lpwstr>
      </vt:variant>
      <vt:variant>
        <vt:i4>2162698</vt:i4>
      </vt:variant>
      <vt:variant>
        <vt:i4>68</vt:i4>
      </vt:variant>
      <vt:variant>
        <vt:i4>0</vt:i4>
      </vt:variant>
      <vt:variant>
        <vt:i4>5</vt:i4>
      </vt:variant>
      <vt:variant>
        <vt:lpwstr/>
      </vt:variant>
      <vt:variant>
        <vt:lpwstr>_Toc8643633</vt:lpwstr>
      </vt:variant>
      <vt:variant>
        <vt:i4>2162698</vt:i4>
      </vt:variant>
      <vt:variant>
        <vt:i4>62</vt:i4>
      </vt:variant>
      <vt:variant>
        <vt:i4>0</vt:i4>
      </vt:variant>
      <vt:variant>
        <vt:i4>5</vt:i4>
      </vt:variant>
      <vt:variant>
        <vt:lpwstr/>
      </vt:variant>
      <vt:variant>
        <vt:lpwstr>_Toc8643632</vt:lpwstr>
      </vt:variant>
      <vt:variant>
        <vt:i4>2162698</vt:i4>
      </vt:variant>
      <vt:variant>
        <vt:i4>56</vt:i4>
      </vt:variant>
      <vt:variant>
        <vt:i4>0</vt:i4>
      </vt:variant>
      <vt:variant>
        <vt:i4>5</vt:i4>
      </vt:variant>
      <vt:variant>
        <vt:lpwstr/>
      </vt:variant>
      <vt:variant>
        <vt:lpwstr>_Toc8643631</vt:lpwstr>
      </vt:variant>
      <vt:variant>
        <vt:i4>2162698</vt:i4>
      </vt:variant>
      <vt:variant>
        <vt:i4>50</vt:i4>
      </vt:variant>
      <vt:variant>
        <vt:i4>0</vt:i4>
      </vt:variant>
      <vt:variant>
        <vt:i4>5</vt:i4>
      </vt:variant>
      <vt:variant>
        <vt:lpwstr/>
      </vt:variant>
      <vt:variant>
        <vt:lpwstr>_Toc8643630</vt:lpwstr>
      </vt:variant>
      <vt:variant>
        <vt:i4>2097162</vt:i4>
      </vt:variant>
      <vt:variant>
        <vt:i4>44</vt:i4>
      </vt:variant>
      <vt:variant>
        <vt:i4>0</vt:i4>
      </vt:variant>
      <vt:variant>
        <vt:i4>5</vt:i4>
      </vt:variant>
      <vt:variant>
        <vt:lpwstr/>
      </vt:variant>
      <vt:variant>
        <vt:lpwstr>_Toc8643629</vt:lpwstr>
      </vt:variant>
      <vt:variant>
        <vt:i4>2097162</vt:i4>
      </vt:variant>
      <vt:variant>
        <vt:i4>38</vt:i4>
      </vt:variant>
      <vt:variant>
        <vt:i4>0</vt:i4>
      </vt:variant>
      <vt:variant>
        <vt:i4>5</vt:i4>
      </vt:variant>
      <vt:variant>
        <vt:lpwstr/>
      </vt:variant>
      <vt:variant>
        <vt:lpwstr>_Toc8643628</vt:lpwstr>
      </vt:variant>
      <vt:variant>
        <vt:i4>2097162</vt:i4>
      </vt:variant>
      <vt:variant>
        <vt:i4>32</vt:i4>
      </vt:variant>
      <vt:variant>
        <vt:i4>0</vt:i4>
      </vt:variant>
      <vt:variant>
        <vt:i4>5</vt:i4>
      </vt:variant>
      <vt:variant>
        <vt:lpwstr/>
      </vt:variant>
      <vt:variant>
        <vt:lpwstr>_Toc8643627</vt:lpwstr>
      </vt:variant>
      <vt:variant>
        <vt:i4>2097162</vt:i4>
      </vt:variant>
      <vt:variant>
        <vt:i4>26</vt:i4>
      </vt:variant>
      <vt:variant>
        <vt:i4>0</vt:i4>
      </vt:variant>
      <vt:variant>
        <vt:i4>5</vt:i4>
      </vt:variant>
      <vt:variant>
        <vt:lpwstr/>
      </vt:variant>
      <vt:variant>
        <vt:lpwstr>_Toc8643626</vt:lpwstr>
      </vt:variant>
      <vt:variant>
        <vt:i4>2097162</vt:i4>
      </vt:variant>
      <vt:variant>
        <vt:i4>20</vt:i4>
      </vt:variant>
      <vt:variant>
        <vt:i4>0</vt:i4>
      </vt:variant>
      <vt:variant>
        <vt:i4>5</vt:i4>
      </vt:variant>
      <vt:variant>
        <vt:lpwstr/>
      </vt:variant>
      <vt:variant>
        <vt:lpwstr>_Toc8643625</vt:lpwstr>
      </vt:variant>
      <vt:variant>
        <vt:i4>2097162</vt:i4>
      </vt:variant>
      <vt:variant>
        <vt:i4>14</vt:i4>
      </vt:variant>
      <vt:variant>
        <vt:i4>0</vt:i4>
      </vt:variant>
      <vt:variant>
        <vt:i4>5</vt:i4>
      </vt:variant>
      <vt:variant>
        <vt:lpwstr/>
      </vt:variant>
      <vt:variant>
        <vt:lpwstr>_Toc8643624</vt:lpwstr>
      </vt:variant>
      <vt:variant>
        <vt:i4>2097162</vt:i4>
      </vt:variant>
      <vt:variant>
        <vt:i4>8</vt:i4>
      </vt:variant>
      <vt:variant>
        <vt:i4>0</vt:i4>
      </vt:variant>
      <vt:variant>
        <vt:i4>5</vt:i4>
      </vt:variant>
      <vt:variant>
        <vt:lpwstr/>
      </vt:variant>
      <vt:variant>
        <vt:lpwstr>_Toc8643623</vt:lpwstr>
      </vt:variant>
      <vt:variant>
        <vt:i4>2097162</vt:i4>
      </vt:variant>
      <vt:variant>
        <vt:i4>5</vt:i4>
      </vt:variant>
      <vt:variant>
        <vt:i4>0</vt:i4>
      </vt:variant>
      <vt:variant>
        <vt:i4>5</vt:i4>
      </vt:variant>
      <vt:variant>
        <vt:lpwstr/>
      </vt:variant>
      <vt:variant>
        <vt:lpwstr>_Toc8643622</vt:lpwstr>
      </vt:variant>
      <vt:variant>
        <vt:i4>2097162</vt:i4>
      </vt:variant>
      <vt:variant>
        <vt:i4>2</vt:i4>
      </vt:variant>
      <vt:variant>
        <vt:i4>0</vt:i4>
      </vt:variant>
      <vt:variant>
        <vt:i4>5</vt:i4>
      </vt:variant>
      <vt:variant>
        <vt:lpwstr/>
      </vt:variant>
      <vt:variant>
        <vt:lpwstr>_Toc8643621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cp:lastModifiedBy>قاسم الشوكي</cp:lastModifiedBy>
  <cp:revision>2</cp:revision>
  <cp:lastPrinted>2019-05-13T09:58:00Z</cp:lastPrinted>
  <dcterms:created xsi:type="dcterms:W3CDTF">2023-11-11T10:58:00Z</dcterms:created>
  <dcterms:modified xsi:type="dcterms:W3CDTF">2023-11-11T10:58:00Z</dcterms:modified>
</cp:coreProperties>
</file>